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adjustRightInd/>
        <w:snapToGrid/>
        <w:spacing w:after="0" w:line="620" w:lineRule="exact"/>
        <w:jc w:val="center"/>
        <w:rPr>
          <w:rFonts w:hint="eastAsia" w:ascii="方正小标宋简体" w:hAnsi="宋体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kern w:val="0"/>
          <w:sz w:val="44"/>
          <w:szCs w:val="44"/>
          <w:lang w:eastAsia="zh-CN"/>
        </w:rPr>
        <w:t>关于印发</w:t>
      </w:r>
      <w:r>
        <w:rPr>
          <w:rFonts w:hint="eastAsia" w:ascii="方正小标宋简体" w:hAnsi="宋体" w:eastAsia="方正小标宋简体" w:cs="Times New Roman"/>
          <w:kern w:val="0"/>
          <w:sz w:val="44"/>
          <w:szCs w:val="44"/>
          <w:lang w:val="en-US" w:eastAsia="zh-CN"/>
        </w:rPr>
        <w:t>《黄山市“惠民菜篮子”</w:t>
      </w:r>
    </w:p>
    <w:p>
      <w:pPr>
        <w:jc w:val="center"/>
        <w:rPr>
          <w:rFonts w:hint="eastAsia" w:ascii="方正小标宋简体" w:hAnsi="宋体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提升行动方案</w:t>
      </w:r>
      <w:r>
        <w:rPr>
          <w:rFonts w:hint="eastAsia" w:ascii="方正小标宋简体" w:hAnsi="宋体" w:eastAsia="方正小标宋简体" w:cs="Times New Roman"/>
          <w:kern w:val="0"/>
          <w:sz w:val="44"/>
          <w:szCs w:val="44"/>
          <w:lang w:val="en-US" w:eastAsia="zh-CN"/>
        </w:rPr>
        <w:t>》的通知</w:t>
      </w:r>
    </w:p>
    <w:p>
      <w:pPr>
        <w:ind w:left="0" w:leftChars="0" w:firstLine="0" w:firstLineChars="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各区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/>
          <w:sz w:val="32"/>
          <w:szCs w:val="32"/>
        </w:rPr>
        <w:t>发展改革委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、财政局、商务局、农业农村局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现将《黄山市“惠民菜篮子”提升行动方案》印发给你们，请遵照执行。</w:t>
      </w: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adjustRightInd/>
        <w:snapToGrid/>
        <w:spacing w:after="0"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黄山市发展和改革委员会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黄山市财政局</w:t>
      </w:r>
    </w:p>
    <w:p>
      <w:pPr>
        <w:widowControl w:val="0"/>
        <w:adjustRightInd/>
        <w:snapToGrid/>
        <w:spacing w:after="0" w:line="62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黄山市农业农村局</w:t>
      </w:r>
      <w:r>
        <w:rPr>
          <w:rFonts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黄山市商务局</w:t>
      </w:r>
    </w:p>
    <w:p>
      <w:pPr>
        <w:widowControl w:val="0"/>
        <w:adjustRightInd/>
        <w:snapToGrid/>
        <w:spacing w:after="0"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62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widowControl w:val="0"/>
        <w:adjustRightInd/>
        <w:snapToGrid/>
        <w:spacing w:after="0" w:line="620" w:lineRule="exact"/>
        <w:ind w:firstLine="5760" w:firstLineChars="18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抄送：省发展改革委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黄山市“惠民菜篮子”提升行动方案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黄山市委办公室黄山市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关于2022年创新民生工程建设模式办好20项民生实事的通知》精神，推动“惠民菜篮子”制度化、机制化运行，提升“惠民菜篮子”工作成效，制定本方案。</w:t>
      </w:r>
    </w:p>
    <w:p>
      <w:pPr>
        <w:pStyle w:val="6"/>
        <w:numPr>
          <w:ilvl w:val="0"/>
          <w:numId w:val="0"/>
        </w:numPr>
        <w:ind w:left="11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工作目标</w:t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本着有效市场和有为政府相结合的原则，依托主要商超及社区连锁店，全面建设政府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惠民菜篮子”，稳定蔬菜、猪肉等重要民生商品价格，保障群众基本生活。2022年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，我市“惠民菜篮子”门店总数达到2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家，推动“惠民菜篮子”制度化、机制化运行的政策措施基本健全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，“惠民菜篮子”门店在各区县城区实现全覆盖。</w:t>
      </w:r>
    </w:p>
    <w:p>
      <w:pPr>
        <w:pStyle w:val="6"/>
        <w:numPr>
          <w:ilvl w:val="0"/>
          <w:numId w:val="0"/>
        </w:numPr>
        <w:ind w:left="11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主要任务</w:t>
      </w:r>
    </w:p>
    <w:p>
      <w:pPr>
        <w:pStyle w:val="6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Times New Roman" w:eastAsia="方正楷体_GBK" w:cstheme="minorBidi"/>
          <w:b/>
          <w:bCs/>
          <w:kern w:val="2"/>
          <w:sz w:val="32"/>
          <w:szCs w:val="32"/>
          <w:lang w:val="en-US" w:eastAsia="zh-CN" w:bidi="ar-SA"/>
        </w:rPr>
        <w:t>（一）统一名称标识。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全市发展改革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等部门设立的农副产品平价直销区、平价商店名称统一调整为“惠民菜篮子”。运行期间，各门店按要求在惠民销售区域醒目位置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悬挂</w:t>
      </w:r>
      <w:r>
        <w:rPr>
          <w:rFonts w:hint="eastAsia" w:ascii="仿宋_GB2312" w:hAnsi="仿宋_GB2312" w:eastAsia="仿宋_GB2312" w:cs="仿宋_GB2312"/>
          <w:sz w:val="32"/>
          <w:szCs w:val="32"/>
        </w:rPr>
        <w:t>“惠民菜篮子”统一标识，并使用同时标有市场价和惠民价两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价格的标价签。</w:t>
      </w:r>
    </w:p>
    <w:p>
      <w:pPr>
        <w:pStyle w:val="6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Times New Roman" w:eastAsia="方正楷体_GBK" w:cstheme="minorBidi"/>
          <w:b/>
          <w:bCs/>
          <w:kern w:val="2"/>
          <w:sz w:val="32"/>
          <w:szCs w:val="32"/>
          <w:lang w:val="en-US" w:eastAsia="zh-CN" w:bidi="ar-SA"/>
        </w:rPr>
        <w:t>（二）优化网点布局。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按照保基本的原则，各区县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惠民菜篮子”门店主要设立在中低收入人群相对集中，蔬菜、猪肉等重要民生商品消费量较大的地区。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“惠民菜篮子”具体商超、门店名称、经营地址要向社会公布。</w:t>
      </w:r>
    </w:p>
    <w:p>
      <w:pPr>
        <w:pStyle w:val="6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Times New Roman" w:eastAsia="方正楷体_GBK" w:cstheme="minorBidi"/>
          <w:b/>
          <w:bCs/>
          <w:kern w:val="2"/>
          <w:sz w:val="32"/>
          <w:szCs w:val="32"/>
          <w:lang w:val="en-US" w:eastAsia="zh-CN" w:bidi="ar-SA"/>
        </w:rPr>
        <w:t>（三）丰富惠民品种。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分类建立“惠民菜篮子”品种目录，并动态调整。纳入目录的品种，以应季菜、叶类菜等常规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</w:t>
      </w:r>
      <w:r>
        <w:rPr>
          <w:rFonts w:hint="eastAsia" w:ascii="仿宋_GB2312" w:hAnsi="仿宋_GB2312" w:eastAsia="仿宋_GB2312" w:cs="仿宋_GB2312"/>
          <w:sz w:val="32"/>
          <w:szCs w:val="32"/>
        </w:rPr>
        <w:t>菜，以及猪肉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普通米、面、油等为主。为便于统一管理，市发展改革委参照省目录制定了全市“惠民菜篮子”品种目录，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根据季节变化、市场供应和居民消费习惯等由各地从中选择一定数量品种</w:t>
      </w:r>
      <w:r>
        <w:rPr>
          <w:rFonts w:hint="eastAsia" w:ascii="仿宋_GB2312" w:hAnsi="仿宋_GB2312" w:eastAsia="仿宋_GB2312" w:cs="仿宋_GB2312"/>
          <w:sz w:val="32"/>
          <w:szCs w:val="32"/>
        </w:rPr>
        <w:t>，作为当地“惠民菜篮子”具体销售品种。</w:t>
      </w:r>
    </w:p>
    <w:p>
      <w:pPr>
        <w:pStyle w:val="6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Times New Roman" w:eastAsia="方正楷体_GBK" w:cstheme="minorBidi"/>
          <w:b/>
          <w:bCs/>
          <w:kern w:val="2"/>
          <w:sz w:val="32"/>
          <w:szCs w:val="32"/>
          <w:lang w:val="en-US" w:eastAsia="zh-CN" w:bidi="ar-SA"/>
        </w:rPr>
        <w:t>（四）开展市场监测。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“惠民菜篮子”运行期间，每日开展市场价格监测，及时汇总形成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本区域内</w:t>
      </w:r>
      <w:r>
        <w:rPr>
          <w:rFonts w:hint="eastAsia" w:ascii="仿宋_GB2312" w:hAnsi="仿宋_GB2312" w:eastAsia="仿宋_GB2312" w:cs="仿宋_GB2312"/>
          <w:sz w:val="32"/>
          <w:szCs w:val="32"/>
        </w:rPr>
        <w:t>同品种同规格市场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平均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价格，并反馈至参加“惠民菜篮子”运行商超，作为各门店次日当地市场均价及测算惠民价的依据。</w:t>
      </w:r>
    </w:p>
    <w:p>
      <w:pPr>
        <w:pStyle w:val="6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Times New Roman" w:eastAsia="方正楷体_GBK" w:cstheme="minorBidi"/>
          <w:b/>
          <w:bCs/>
          <w:kern w:val="2"/>
          <w:sz w:val="32"/>
          <w:szCs w:val="32"/>
          <w:lang w:val="en-US" w:eastAsia="zh-CN" w:bidi="ar-SA"/>
        </w:rPr>
        <w:t>（五）增加运行天数。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主要节假日、重大活动、突发事件以及价格大幅上涨等期间，全市统一启动“惠民菜篮子”运行，并适当增加运行天数，全年统一运行总天数不少于60天。各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地须严格按照市发展改革委通知要求适时启动，在此基础上各地</w:t>
      </w:r>
      <w:r>
        <w:rPr>
          <w:rFonts w:hint="eastAsia" w:ascii="仿宋_GB2312" w:hAnsi="仿宋_GB2312" w:eastAsia="仿宋_GB2312" w:cs="仿宋_GB2312"/>
          <w:sz w:val="32"/>
          <w:szCs w:val="32"/>
        </w:rPr>
        <w:t>可结合实际，自行启动本地“惠民菜篮子”运行，鼓励常态化运行。</w:t>
      </w:r>
    </w:p>
    <w:p>
      <w:pPr>
        <w:pStyle w:val="6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Times New Roman" w:eastAsia="方正楷体_GBK" w:cstheme="minorBidi"/>
          <w:b/>
          <w:bCs/>
          <w:kern w:val="2"/>
          <w:sz w:val="32"/>
          <w:szCs w:val="32"/>
          <w:lang w:val="en-US" w:eastAsia="zh-CN" w:bidi="ar-SA"/>
        </w:rPr>
        <w:t>（六）落实惠民要求。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惠民销售的蔬菜价格要低于市场价15%以上；猪肉等其他农副产品要低于市场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价5%以上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惠民销售品种不少于20个，其中蔬菜品种不少于15个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，同时要有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“一元菜”。惠民销售的商品要相对集中摆放，便于识别。各门店要及时补货、补柜，确保不断档、不脱销、符合质量要求。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sz w:val="32"/>
          <w:szCs w:val="32"/>
          <w:lang w:eastAsia="zh-CN"/>
        </w:rPr>
        <w:t>（七）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创新运行方式。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结合实际组织开展“惠民菜篮子”进社区、进校园、养老机构食堂等活动，扩大惠民成效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在疫情等突发事件期间，</w:t>
      </w:r>
      <w:r>
        <w:rPr>
          <w:rFonts w:hint="eastAsia" w:ascii="Times New Roman" w:hAnsi="Times New Roman" w:eastAsia="方正仿宋_GBK"/>
          <w:sz w:val="32"/>
          <w:szCs w:val="32"/>
        </w:rPr>
        <w:t>推动各门店延伸服务功能，通过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线上下单、线下取货、</w:t>
      </w:r>
      <w:r>
        <w:rPr>
          <w:rFonts w:hint="eastAsia" w:ascii="Times New Roman" w:hAnsi="Times New Roman" w:eastAsia="方正仿宋_GBK"/>
          <w:sz w:val="32"/>
          <w:szCs w:val="32"/>
        </w:rPr>
        <w:t>配送到家等方式，开展线上线下相融合的惠民销售。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（八）</w:t>
      </w:r>
      <w:r>
        <w:rPr>
          <w:rFonts w:hint="eastAsia" w:ascii="方正楷体_GBK" w:hAnsi="Times New Roman" w:eastAsia="方正楷体_GBK"/>
          <w:b/>
          <w:bCs/>
          <w:sz w:val="32"/>
          <w:szCs w:val="32"/>
          <w:lang w:eastAsia="zh-CN"/>
        </w:rPr>
        <w:t>完善评价机制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各地要按照民生工程相关要求，加强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“惠民菜篮子”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评价考核工作，完善评价指标，健全群众参与、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社会监督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评价机制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对积极履行保供稳价社会责任，创新惠民销售方式且成效显著、群众满意度较高的商超，各区县在评价考核中应适当加分。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九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）加强宣传引导。</w:t>
      </w:r>
      <w:r>
        <w:rPr>
          <w:rFonts w:hint="eastAsia" w:ascii="Times New Roman" w:hAnsi="Times New Roman" w:eastAsia="方正仿宋_GBK"/>
          <w:sz w:val="32"/>
          <w:szCs w:val="32"/>
        </w:rPr>
        <w:t>通过新闻媒体多形式宣传“惠民菜篮子”运行的重要意义和工作成效，推广经验做法，提升“惠民菜篮子”品牌效应。各门店在运行期间，要通过宣传牌、宣传海报、店内广播等载体宣传惠民销售活动，提高运行成效。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三、时间安排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按照边运行、边调整规范、边健全机制、边全面提升的原则，在开展“惠民菜篮子”运行的同时，分阶段完成本次提升行动各项任务。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（一）调整规范阶段。</w:t>
      </w:r>
      <w:r>
        <w:rPr>
          <w:rFonts w:hint="eastAsia" w:ascii="Times New Roman" w:hAnsi="Times New Roman" w:eastAsia="方正仿宋_GBK"/>
          <w:sz w:val="32"/>
          <w:szCs w:val="32"/>
        </w:rPr>
        <w:t>2022年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前</w:t>
      </w:r>
      <w:r>
        <w:rPr>
          <w:rFonts w:hint="eastAsia" w:ascii="Times New Roman" w:hAnsi="Times New Roman" w:eastAsia="方正仿宋_GBK"/>
          <w:sz w:val="32"/>
          <w:szCs w:val="32"/>
        </w:rPr>
        <w:t>，完成门店调整及扩充、名称标识统一、惠民品种调整等工作，落实资金支持和扶持政策。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（二）健全机制阶段。</w:t>
      </w:r>
      <w:r>
        <w:rPr>
          <w:rFonts w:hint="eastAsia" w:ascii="Times New Roman" w:hAnsi="Times New Roman" w:eastAsia="方正仿宋_GBK"/>
          <w:sz w:val="32"/>
          <w:szCs w:val="32"/>
        </w:rPr>
        <w:t>2022年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月至9月底，健全和完善监测、监管、考核等各项机制。</w:t>
      </w:r>
    </w:p>
    <w:p>
      <w:pPr>
        <w:spacing w:line="560" w:lineRule="exact"/>
        <w:ind w:firstLine="643" w:firstLineChars="200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（三）全面提升阶段。</w:t>
      </w:r>
      <w:r>
        <w:rPr>
          <w:rFonts w:hint="eastAsia" w:ascii="Times New Roman" w:hAnsi="Times New Roman" w:eastAsia="方正仿宋_GBK"/>
          <w:sz w:val="32"/>
          <w:szCs w:val="32"/>
        </w:rPr>
        <w:t>2022年10月至12月底，自查并总结提升。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/>
          <w:sz w:val="32"/>
          <w:szCs w:val="32"/>
        </w:rPr>
        <w:t>发展改革委按照民生工程要求，会同有关部门开展核查，对提升行动快、运行效果好的，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在考核中给与倾斜及通报</w:t>
      </w:r>
      <w:r>
        <w:rPr>
          <w:rFonts w:hint="eastAsia" w:ascii="Times New Roman" w:hAnsi="Times New Roman" w:eastAsia="方正仿宋_GBK"/>
          <w:sz w:val="32"/>
          <w:szCs w:val="32"/>
        </w:rPr>
        <w:t>表扬。</w:t>
      </w:r>
    </w:p>
    <w:p>
      <w:pPr>
        <w:spacing w:line="560" w:lineRule="exact"/>
        <w:ind w:firstLine="640" w:firstLineChars="200"/>
        <w:rPr>
          <w:rFonts w:hint="eastAsia" w:ascii="方正黑体_GBK" w:hAnsi="Times New Roman" w:eastAsia="方正黑体_GBK"/>
          <w:b w:val="0"/>
          <w:bCs w:val="0"/>
          <w:sz w:val="32"/>
          <w:szCs w:val="32"/>
        </w:rPr>
      </w:pPr>
      <w:r>
        <w:rPr>
          <w:rFonts w:hint="eastAsia" w:ascii="方正黑体_GBK" w:hAnsi="Times New Roman" w:eastAsia="方正黑体_GBK"/>
          <w:b w:val="0"/>
          <w:bCs w:val="0"/>
          <w:sz w:val="32"/>
          <w:szCs w:val="32"/>
        </w:rPr>
        <w:t>四、保障措施</w:t>
      </w:r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Times New Roman" w:eastAsia="方正楷体_GBK"/>
          <w:b/>
          <w:bCs/>
          <w:sz w:val="32"/>
          <w:szCs w:val="32"/>
        </w:rPr>
        <w:t>（</w:t>
      </w:r>
      <w:r>
        <w:rPr>
          <w:rFonts w:hint="eastAsia" w:ascii="方正楷体_GBK" w:hAnsi="Times New Roman" w:eastAsia="方正楷体_GBK"/>
          <w:b/>
          <w:bCs/>
          <w:sz w:val="32"/>
          <w:szCs w:val="32"/>
          <w:lang w:eastAsia="zh-CN"/>
        </w:rPr>
        <w:t>一</w:t>
      </w:r>
      <w:r>
        <w:rPr>
          <w:rFonts w:ascii="方正楷体_GBK" w:hAnsi="Times New Roman" w:eastAsia="方正楷体_GBK"/>
          <w:b/>
          <w:bCs/>
          <w:sz w:val="32"/>
          <w:szCs w:val="32"/>
        </w:rPr>
        <w:t>）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加强协调联动。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区县发展改革部门要会同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财政、农业农村、商务等部门建立工作协调机制，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加强工作协同，落实各项工作任务，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改进和优化服务，及时解决“惠民菜篮子”运行中出现的矛盾和问题。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完善配套</w:t>
      </w:r>
      <w:r>
        <w:rPr>
          <w:rFonts w:ascii="方正楷体_GBK" w:hAnsi="Times New Roman" w:eastAsia="方正楷体_GBK"/>
          <w:b/>
          <w:bCs/>
          <w:sz w:val="32"/>
          <w:szCs w:val="32"/>
        </w:rPr>
        <w:t>政策。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落实我省重要民生商品价格调控机制实施方案，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将“惠民菜篮子”门店纳入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保供稳价企业名录及重要民生商品政府储备应急投放网点、“放心粮油示范店”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支持“惠民菜篮子”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商超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产销对接，减少流通环节、降低运行成本。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“惠民菜篮子”建设运行情况纳入“菜篮子”市长负责制考核。</w:t>
      </w:r>
    </w:p>
    <w:p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）落实扶持政策。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政府关于推进农副产品平价店建设有关政策规定和我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实施民生工程相关实施方案要求，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落实财政专项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，对“惠民菜篮子”运行门店给予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奖补，鼓励给与门店差价补贴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，并按规定在用电价格、冷链设施建设等方面给予相应政策支持。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附件：“惠民菜篮子”商品品种指导目录</w:t>
      </w:r>
    </w:p>
    <w:p>
      <w:pPr>
        <w:snapToGrid w:val="0"/>
        <w:jc w:val="lef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kern w:val="0"/>
          <w:sz w:val="32"/>
          <w:szCs w:val="32"/>
          <w:lang w:eastAsia="zh-CN"/>
        </w:rPr>
      </w:pPr>
    </w:p>
    <w:p>
      <w:pPr>
        <w:snapToGrid w:val="0"/>
        <w:jc w:val="left"/>
        <w:rPr>
          <w:rFonts w:hint="eastAsia" w:ascii="Times New Roman" w:hAnsi="Times New Roman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ascii="Times New Roman" w:hAnsi="Times New Roman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/>
          <w:kern w:val="0"/>
          <w:sz w:val="44"/>
          <w:szCs w:val="44"/>
        </w:rPr>
        <w:t>“</w:t>
      </w:r>
      <w:r>
        <w:rPr>
          <w:rFonts w:ascii="Times New Roman" w:hAnsi="Times New Roman" w:eastAsia="华文中宋"/>
          <w:kern w:val="0"/>
          <w:sz w:val="44"/>
          <w:szCs w:val="44"/>
        </w:rPr>
        <w:t>惠民菜篮子”商品品种指导目录</w:t>
      </w:r>
    </w:p>
    <w:tbl>
      <w:tblPr>
        <w:tblStyle w:val="5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396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类别、品种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规格、等级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kern w:val="0"/>
                <w:sz w:val="28"/>
                <w:szCs w:val="28"/>
              </w:rPr>
              <w:t>一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粮食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中籼米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（杂交）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、晚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籼米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10公斤 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面粉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5公斤 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面粉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5公斤 特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面条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500克 普通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食用油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ind w:firstLine="420" w:firstLineChars="150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大豆油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一级5升桶装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ind w:firstLine="420" w:firstLineChars="150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花生油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一级5升桶装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调和油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一级5升桶装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菜籽油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一级5升桶装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猪肉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全瘦肉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ind w:firstLine="1260" w:firstLineChars="45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肋条肉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排骨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后座统货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四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家禽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白条鸡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五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水产品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鲫鱼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活350克左右/条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花鲢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活750克左右/条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带鱼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冷冻250克左右/条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鸡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蛋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鸡蛋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新鲜（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洋鸡蛋，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蛋场鸡蛋）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eastAsia="zh-CN"/>
              </w:rPr>
              <w:t>七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蔬菜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（一）白菜类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普通青菜（小青菜、油菜等）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大白菜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大娃娃菜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（二）甘蓝类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西兰花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甘蓝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（三）绿叶菜类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芹菜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（香芹、西芹）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苋菜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莴笋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生菜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空心菜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木耳菜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菠菜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（四）茄果类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茄子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（黑茄、紫长茄）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青椒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（薄皮青椒）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西红柿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白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萝卜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辣椒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（五）豆类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豇豆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四季豆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毛豆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豆芽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（六）瓜类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黄瓜（青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黄瓜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、老黄瓜）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丝瓜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冬瓜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西葫芦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南瓜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（七）水生蔬菜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莲藕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水芹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（八）新鲜食用菌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平菇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香菇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金针菇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（九）其他蔬菜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洋葱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3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土豆</w:t>
            </w:r>
          </w:p>
        </w:tc>
        <w:tc>
          <w:tcPr>
            <w:tcW w:w="324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新鲜一级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注：各</w:t>
      </w:r>
      <w:r>
        <w:rPr>
          <w:rFonts w:hint="eastAsia" w:ascii="Times New Roman" w:hAnsi="Times New Roman" w:eastAsia="仿宋_GB2312"/>
          <w:color w:val="000000"/>
          <w:sz w:val="30"/>
          <w:szCs w:val="30"/>
          <w:lang w:eastAsia="zh-CN"/>
        </w:rPr>
        <w:t>区县</w:t>
      </w:r>
      <w:r>
        <w:rPr>
          <w:rFonts w:ascii="Times New Roman" w:hAnsi="Times New Roman" w:eastAsia="仿宋_GB2312"/>
          <w:color w:val="000000"/>
          <w:sz w:val="30"/>
          <w:szCs w:val="30"/>
        </w:rPr>
        <w:t>可以根据当地消费习惯及季节变化，对上述类别、品种进行增补和调整。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AE"/>
    <w:rsid w:val="000C1870"/>
    <w:rsid w:val="002533AE"/>
    <w:rsid w:val="00575CE2"/>
    <w:rsid w:val="00C16C27"/>
    <w:rsid w:val="00D867AA"/>
    <w:rsid w:val="00F847CD"/>
    <w:rsid w:val="016D535E"/>
    <w:rsid w:val="0D190250"/>
    <w:rsid w:val="0EE7529E"/>
    <w:rsid w:val="13A0485D"/>
    <w:rsid w:val="1E863764"/>
    <w:rsid w:val="1F54565A"/>
    <w:rsid w:val="284D0372"/>
    <w:rsid w:val="2BC64855"/>
    <w:rsid w:val="337C14BD"/>
    <w:rsid w:val="35F73F8F"/>
    <w:rsid w:val="38E56AC4"/>
    <w:rsid w:val="3B5D4F12"/>
    <w:rsid w:val="48634A85"/>
    <w:rsid w:val="5077643A"/>
    <w:rsid w:val="59B87AB3"/>
    <w:rsid w:val="5FAC049C"/>
    <w:rsid w:val="62FA0C5B"/>
    <w:rsid w:val="6C09789E"/>
    <w:rsid w:val="7CF8075F"/>
    <w:rsid w:val="7EA4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872</Characters>
  <Lines>7</Lines>
  <Paragraphs>2</Paragraphs>
  <TotalTime>54</TotalTime>
  <ScaleCrop>false</ScaleCrop>
  <LinksUpToDate>false</LinksUpToDate>
  <CharactersWithSpaces>1022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2022-04-11T14:30:00Z</dcterms:created>
  <dc:creator>陈 祥祥</dc:creator>
  <cp:lastModifiedBy>11</cp:lastModifiedBy>
  <cp:lastPrinted>2022-06-08T09:41:19Z</cp:lastPrinted>
  <dcterms:modified xsi:type="dcterms:W3CDTF">2022-06-08T09:44:06Z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