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b/>
          <w:sz w:val="32"/>
          <w:szCs w:val="32"/>
        </w:rPr>
      </w:pPr>
      <w:bookmarkStart w:id="231" w:name="_GoBack"/>
      <w:bookmarkEnd w:id="231"/>
    </w:p>
    <w:p>
      <w:pPr>
        <w:spacing w:line="420" w:lineRule="exact"/>
        <w:ind w:right="166" w:rightChars="79"/>
        <w:jc w:val="center"/>
        <w:rPr>
          <w:rFonts w:ascii="仿宋_GB2312" w:hAnsi="宋体" w:eastAsia="仿宋_GB2312"/>
          <w:sz w:val="32"/>
          <w:szCs w:val="32"/>
        </w:rPr>
      </w:pPr>
      <w:bookmarkStart w:id="0" w:name="文号"/>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hint="eastAsia"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p>
    <w:p>
      <w:pPr>
        <w:spacing w:line="420" w:lineRule="exact"/>
        <w:ind w:right="166" w:rightChars="79"/>
        <w:jc w:val="center"/>
        <w:rPr>
          <w:rFonts w:ascii="仿宋_GB2312" w:hAnsi="宋体" w:eastAsia="仿宋_GB2312"/>
          <w:sz w:val="32"/>
          <w:szCs w:val="32"/>
        </w:rPr>
      </w:pPr>
      <w:r>
        <w:rPr>
          <w:rFonts w:hint="eastAsia" w:ascii="仿宋_GB2312" w:hAnsi="宋体" w:eastAsia="仿宋_GB2312"/>
          <w:sz w:val="32"/>
          <w:szCs w:val="32"/>
        </w:rPr>
        <w:t xml:space="preserve">   休政〔</w:t>
      </w:r>
      <w:r>
        <w:rPr>
          <w:rFonts w:ascii="仿宋_GB2312" w:hAnsi="宋体" w:eastAsia="仿宋_GB2312"/>
          <w:sz w:val="32"/>
          <w:szCs w:val="32"/>
        </w:rPr>
        <w:t>2021〕27号</w:t>
      </w:r>
      <w:bookmarkEnd w:id="0"/>
    </w:p>
    <w:p>
      <w:pPr>
        <w:shd w:val="solid" w:color="FFFFFF" w:fill="auto"/>
        <w:autoSpaceDN w:val="0"/>
        <w:spacing w:line="1400" w:lineRule="exact"/>
        <w:jc w:val="center"/>
        <w:rPr>
          <w:rFonts w:ascii="方正小标宋_GBK" w:hAnsi="黑体" w:eastAsia="方正小标宋_GBK"/>
          <w:bCs/>
          <w:color w:val="000000"/>
          <w:sz w:val="44"/>
          <w:shd w:val="clear" w:color="auto" w:fill="FFFFFF"/>
        </w:rPr>
      </w:pPr>
    </w:p>
    <w:p/>
    <w:p>
      <w:pPr>
        <w:spacing w:line="6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休宁县人民政府关于印发休宁县国民经济</w:t>
      </w:r>
    </w:p>
    <w:p>
      <w:pPr>
        <w:spacing w:line="660" w:lineRule="exact"/>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和社会发展第十四个五年规划</w:t>
      </w:r>
    </w:p>
    <w:p>
      <w:pPr>
        <w:spacing w:line="6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和2035年远景目标纲要的通知</w:t>
      </w:r>
    </w:p>
    <w:p>
      <w:pPr>
        <w:spacing w:afterLines="100" w:line="560" w:lineRule="exact"/>
        <w:rPr>
          <w:rFonts w:ascii="仿宋_GB2312" w:eastAsia="仿宋_GB2312" w:cs="仿宋_GB2312"/>
          <w:color w:val="000000"/>
          <w:sz w:val="32"/>
          <w:szCs w:val="32"/>
        </w:rPr>
      </w:pPr>
    </w:p>
    <w:p>
      <w:pPr>
        <w:spacing w:line="560" w:lineRule="exact"/>
        <w:rPr>
          <w:rFonts w:ascii="黑体" w:hAnsi="黑体" w:eastAsia="黑体"/>
          <w:color w:val="000000"/>
          <w:kern w:val="0"/>
          <w:sz w:val="24"/>
        </w:rPr>
      </w:pPr>
      <w:r>
        <w:rPr>
          <w:rFonts w:hint="eastAsia" w:ascii="仿宋_GB2312" w:eastAsia="仿宋_GB2312" w:cs="仿宋_GB2312"/>
          <w:color w:val="000000"/>
          <w:sz w:val="32"/>
          <w:szCs w:val="32"/>
        </w:rPr>
        <w:t>各乡镇人民政府，休宁经济开发区管委会、齐云山风景名胜区管委会，县政府各部门、各直属机构：</w:t>
      </w:r>
      <w:r>
        <w:rPr>
          <w:rFonts w:ascii="仿宋_GB2312" w:eastAsia="仿宋_GB2312"/>
          <w:color w:val="000000"/>
          <w:sz w:val="32"/>
          <w:szCs w:val="32"/>
        </w:rPr>
        <w:br w:type="textWrapping"/>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《休宁县国民经济和社会发展第十四个五年规划和</w:t>
      </w:r>
      <w:r>
        <w:rPr>
          <w:rFonts w:ascii="仿宋_GB2312" w:eastAsia="仿宋_GB2312" w:cs="仿宋_GB2312"/>
          <w:color w:val="000000"/>
          <w:sz w:val="32"/>
          <w:szCs w:val="32"/>
        </w:rPr>
        <w:t>2035</w:t>
      </w:r>
      <w:r>
        <w:rPr>
          <w:rFonts w:hint="eastAsia" w:ascii="仿宋_GB2312" w:eastAsia="仿宋_GB2312" w:cs="仿宋_GB2312"/>
          <w:color w:val="000000"/>
          <w:sz w:val="32"/>
          <w:szCs w:val="32"/>
        </w:rPr>
        <w:t>年远景目标纲要》（以下简称《纲要》）已经县十七届人大第五次会议审议批准，现印发给你们，请结合实际，认真贯彻执行。</w:t>
      </w:r>
      <w:r>
        <w:rPr>
          <w:rFonts w:ascii="仿宋_GB2312" w:eastAsia="仿宋_GB2312"/>
          <w:color w:val="000000"/>
          <w:sz w:val="32"/>
          <w:szCs w:val="32"/>
        </w:rPr>
        <w:br w:type="textWrapping"/>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纲要》描绘了“十四五”时期开启新发展阶段现代化新休宁建设新征程的宏伟蓝图，是全县人民共同奋斗的行动纲领。各乡镇各部门要认真组织学习宣传，增强执行《纲要》的自觉性、主动性和创造性。各部门要把规划确定的目标任务作为工作重点，认真分解落实，保障《纲要》顺利实施。各有关部门要按照职能，各司其责，密切配合，做好规划实施的衔接与协调。县发展改革委要发挥综合协调职能，加强对规划实施的监测和评估，及时向县政府提出推进规划实施的对策建议。</w:t>
      </w:r>
      <w:r>
        <w:rPr>
          <w:rFonts w:ascii="仿宋_GB2312" w:eastAsia="仿宋_GB2312"/>
          <w:color w:val="000000"/>
          <w:sz w:val="32"/>
          <w:szCs w:val="32"/>
        </w:rPr>
        <w:br w:type="textWrapping"/>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各乡镇各部门要坚持以习近平新时代中国特色社会主义思想为指导，深入贯彻党的十九大和十九届二中、三中、四中、五中全会和习近平总书记系列重要讲话精神，立足新发展阶段，贯彻新发展理念，构建新发展格局，解放思想，深化改革，开拓创新，奋发作为，圆满完成“十四五”规划确定的各项目标任务，努力推动建设生产发展生活富裕生态良好的现代化新休宁！</w:t>
      </w:r>
      <w:r>
        <w:rPr>
          <w:rFonts w:ascii="仿宋_GB2312" w:eastAsia="仿宋_GB2312"/>
          <w:color w:val="000000"/>
          <w:sz w:val="32"/>
          <w:szCs w:val="32"/>
        </w:rPr>
        <w:br w:type="textWrapping"/>
      </w:r>
    </w:p>
    <w:p>
      <w:pPr>
        <w:spacing w:line="560" w:lineRule="exact"/>
        <w:ind w:firstLine="640"/>
        <w:rPr>
          <w:rFonts w:ascii="黑体" w:hAnsi="黑体" w:eastAsia="黑体"/>
          <w:color w:val="000000"/>
          <w:kern w:val="0"/>
          <w:sz w:val="24"/>
        </w:rPr>
      </w:pPr>
    </w:p>
    <w:p>
      <w:pPr>
        <w:spacing w:line="560" w:lineRule="exact"/>
        <w:rPr>
          <w:rFonts w:ascii="仿宋_GB2312" w:eastAsia="仿宋_GB2312" w:cs="仿宋_GB2312"/>
          <w:color w:val="000000"/>
          <w:sz w:val="32"/>
          <w:szCs w:val="32"/>
        </w:rPr>
      </w:pPr>
    </w:p>
    <w:p>
      <w:pPr>
        <w:spacing w:line="560" w:lineRule="exact"/>
        <w:rPr>
          <w:rFonts w:ascii="仿宋_GB2312" w:eastAsia="仿宋_GB2312" w:cs="仿宋_GB2312"/>
          <w:color w:val="000000"/>
          <w:sz w:val="32"/>
          <w:szCs w:val="32"/>
        </w:rPr>
      </w:pPr>
    </w:p>
    <w:p>
      <w:pPr>
        <w:spacing w:line="560" w:lineRule="exact"/>
        <w:ind w:firstLine="4960" w:firstLineChars="1550"/>
        <w:rPr>
          <w:rFonts w:ascii="仿宋_GB2312" w:eastAsia="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rPr>
        <w:t>1年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月22日</w:t>
      </w: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spacing w:line="560" w:lineRule="exact"/>
        <w:ind w:firstLine="640"/>
        <w:rPr>
          <w:rFonts w:ascii="黑体" w:hAnsi="黑体" w:eastAsia="黑体"/>
          <w:color w:val="000000"/>
          <w:kern w:val="0"/>
          <w:sz w:val="24"/>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休宁县国民经济和社会发展第十四个五年规划和二〇三五年远景目标纲要</w:t>
      </w:r>
    </w:p>
    <w:p>
      <w:pPr>
        <w:jc w:val="center"/>
        <w:rPr>
          <w:rFonts w:ascii="仿宋_GB2312" w:hAnsi="楷体" w:eastAsia="仿宋_GB2312"/>
          <w:color w:val="000000"/>
          <w:sz w:val="28"/>
          <w:szCs w:val="28"/>
        </w:rPr>
      </w:pPr>
    </w:p>
    <w:p>
      <w:pPr>
        <w:jc w:val="center"/>
        <w:rPr>
          <w:rFonts w:ascii="仿宋_GB2312" w:hAnsi="楷体" w:eastAsia="仿宋_GB2312"/>
          <w:color w:val="000000"/>
          <w:sz w:val="28"/>
          <w:szCs w:val="28"/>
        </w:rPr>
      </w:pPr>
      <w:r>
        <w:rPr>
          <w:rFonts w:hint="eastAsia" w:ascii="仿宋_GB2312" w:hAnsi="楷体" w:eastAsia="仿宋_GB2312" w:cs="仿宋_GB2312"/>
          <w:color w:val="000000"/>
          <w:sz w:val="28"/>
          <w:szCs w:val="28"/>
        </w:rPr>
        <w:t>（</w:t>
      </w:r>
      <w:r>
        <w:rPr>
          <w:rFonts w:ascii="仿宋_GB2312" w:hAnsi="楷体" w:eastAsia="仿宋_GB2312" w:cs="仿宋_GB2312"/>
          <w:color w:val="000000"/>
          <w:sz w:val="28"/>
          <w:szCs w:val="28"/>
        </w:rPr>
        <w:t>2021</w:t>
      </w:r>
      <w:r>
        <w:rPr>
          <w:rFonts w:hint="eastAsia" w:ascii="仿宋_GB2312" w:hAnsi="楷体" w:eastAsia="仿宋_GB2312" w:cs="仿宋_GB2312"/>
          <w:color w:val="000000"/>
          <w:sz w:val="28"/>
          <w:szCs w:val="28"/>
        </w:rPr>
        <w:t>年</w:t>
      </w:r>
      <w:r>
        <w:rPr>
          <w:rFonts w:ascii="仿宋_GB2312" w:hAnsi="楷体" w:eastAsia="仿宋_GB2312" w:cs="仿宋_GB2312"/>
          <w:color w:val="000000"/>
          <w:sz w:val="28"/>
          <w:szCs w:val="28"/>
        </w:rPr>
        <w:t>1</w:t>
      </w:r>
      <w:r>
        <w:rPr>
          <w:rFonts w:hint="eastAsia" w:ascii="仿宋_GB2312" w:hAnsi="楷体" w:eastAsia="仿宋_GB2312" w:cs="仿宋_GB2312"/>
          <w:color w:val="000000"/>
          <w:sz w:val="28"/>
          <w:szCs w:val="28"/>
        </w:rPr>
        <w:t>月</w:t>
      </w:r>
      <w:r>
        <w:rPr>
          <w:rFonts w:ascii="仿宋_GB2312" w:hAnsi="楷体" w:eastAsia="仿宋_GB2312" w:cs="仿宋_GB2312"/>
          <w:color w:val="000000"/>
          <w:sz w:val="28"/>
          <w:szCs w:val="28"/>
        </w:rPr>
        <w:t>21</w:t>
      </w:r>
      <w:r>
        <w:rPr>
          <w:rFonts w:hint="eastAsia" w:ascii="仿宋_GB2312" w:hAnsi="楷体" w:eastAsia="仿宋_GB2312" w:cs="仿宋_GB2312"/>
          <w:color w:val="000000"/>
          <w:sz w:val="28"/>
          <w:szCs w:val="28"/>
        </w:rPr>
        <w:t>日休宁县第十七届人民代表大会第五次会议批准）</w:t>
      </w:r>
    </w:p>
    <w:p>
      <w:pPr>
        <w:spacing w:line="560" w:lineRule="exact"/>
        <w:ind w:firstLine="883"/>
        <w:jc w:val="center"/>
        <w:rPr>
          <w:rFonts w:ascii="方正小标宋简体" w:hAnsi="楷体" w:eastAsia="方正小标宋简体"/>
          <w:b/>
          <w:bCs/>
          <w:color w:val="000000"/>
          <w:sz w:val="44"/>
          <w:szCs w:val="44"/>
        </w:rPr>
      </w:pPr>
    </w:p>
    <w:p>
      <w:pPr>
        <w:spacing w:line="560" w:lineRule="exact"/>
        <w:ind w:firstLine="640"/>
        <w:jc w:val="center"/>
        <w:rPr>
          <w:color w:val="000000"/>
        </w:rPr>
      </w:pPr>
    </w:p>
    <w:p>
      <w:pPr>
        <w:spacing w:line="560" w:lineRule="exact"/>
        <w:ind w:firstLine="723"/>
        <w:jc w:val="center"/>
        <w:rPr>
          <w:rFonts w:eastAsia="Times New Roman"/>
          <w:b/>
          <w:bCs/>
          <w:color w:val="000000"/>
          <w:sz w:val="36"/>
          <w:szCs w:val="36"/>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0"/>
        <w:rPr>
          <w:color w:val="000000"/>
        </w:rPr>
      </w:pPr>
    </w:p>
    <w:p>
      <w:pPr>
        <w:spacing w:line="560" w:lineRule="exact"/>
        <w:ind w:firstLine="643"/>
        <w:jc w:val="center"/>
        <w:rPr>
          <w:rFonts w:ascii="黑体" w:hAnsi="黑体" w:eastAsia="黑体"/>
          <w:b/>
          <w:bCs/>
          <w:color w:val="000000"/>
          <w:sz w:val="32"/>
          <w:szCs w:val="32"/>
        </w:rPr>
      </w:pPr>
      <w:r>
        <w:rPr>
          <w:rFonts w:hint="eastAsia" w:ascii="黑体" w:hAnsi="黑体" w:eastAsia="黑体" w:cs="黑体"/>
          <w:b/>
          <w:bCs/>
          <w:color w:val="000000"/>
          <w:sz w:val="32"/>
          <w:szCs w:val="32"/>
        </w:rPr>
        <w:t>二〇二一年六月</w:t>
      </w:r>
    </w:p>
    <w:p>
      <w:pPr>
        <w:spacing w:line="560" w:lineRule="exact"/>
        <w:jc w:val="center"/>
        <w:rPr>
          <w:rFonts w:ascii="黑体" w:hAnsi="黑体" w:eastAsia="黑体"/>
          <w:b/>
          <w:bCs/>
          <w:color w:val="000000"/>
        </w:rPr>
        <w:sectPr>
          <w:headerReference r:id="rId4" w:type="first"/>
          <w:footerReference r:id="rId6" w:type="first"/>
          <w:headerReference r:id="rId3" w:type="default"/>
          <w:footerReference r:id="rId5" w:type="default"/>
          <w:pgSz w:w="11906" w:h="16838"/>
          <w:pgMar w:top="1531" w:right="1531" w:bottom="1531" w:left="1531" w:header="851" w:footer="992" w:gutter="0"/>
          <w:pgNumType w:fmt="numberInDash"/>
          <w:cols w:space="720" w:num="1"/>
          <w:docGrid w:type="lines" w:linePitch="312" w:charSpace="0"/>
        </w:sectPr>
      </w:pPr>
    </w:p>
    <w:p>
      <w:pPr>
        <w:spacing w:line="560" w:lineRule="exact"/>
        <w:jc w:val="center"/>
      </w:pPr>
      <w:r>
        <w:rPr>
          <w:rFonts w:hint="eastAsia" w:ascii="方正小标宋简体" w:eastAsia="方正小标宋简体" w:cs="方正小标宋简体"/>
          <w:b/>
          <w:bCs/>
          <w:color w:val="000000"/>
          <w:sz w:val="36"/>
          <w:szCs w:val="36"/>
          <w:lang w:val="zh-CN"/>
        </w:rPr>
        <w:t>目</w:t>
      </w:r>
      <w:r>
        <w:rPr>
          <w:rFonts w:ascii="方正小标宋简体" w:eastAsia="方正小标宋简体" w:cs="方正小标宋简体"/>
          <w:b/>
          <w:bCs/>
          <w:color w:val="000000"/>
          <w:sz w:val="36"/>
          <w:szCs w:val="36"/>
          <w:lang w:val="zh-CN"/>
        </w:rPr>
        <w:t xml:space="preserve"> </w:t>
      </w:r>
      <w:r>
        <w:rPr>
          <w:rFonts w:hint="eastAsia" w:ascii="方正小标宋简体" w:eastAsia="方正小标宋简体" w:cs="方正小标宋简体"/>
          <w:b/>
          <w:bCs/>
          <w:color w:val="000000"/>
          <w:sz w:val="36"/>
          <w:szCs w:val="36"/>
          <w:lang w:val="zh-CN"/>
        </w:rPr>
        <w:t>录</w:t>
      </w:r>
      <w:r>
        <w:rPr>
          <w:rFonts w:ascii="方正小标宋简体" w:eastAsia="方正小标宋简体" w:cs="方正小标宋简体"/>
          <w:b/>
          <w:bCs/>
          <w:color w:val="000000"/>
          <w:sz w:val="36"/>
          <w:szCs w:val="36"/>
        </w:rPr>
        <w:fldChar w:fldCharType="begin"/>
      </w:r>
      <w:r>
        <w:rPr>
          <w:rFonts w:ascii="方正小标宋简体" w:eastAsia="方正小标宋简体" w:cs="方正小标宋简体"/>
          <w:b/>
          <w:bCs/>
          <w:color w:val="000000"/>
          <w:sz w:val="36"/>
          <w:szCs w:val="36"/>
        </w:rPr>
        <w:instrText xml:space="preserve"> TOC \o "1-3" \h \z \u </w:instrText>
      </w:r>
      <w:r>
        <w:rPr>
          <w:rFonts w:ascii="方正小标宋简体" w:eastAsia="方正小标宋简体" w:cs="方正小标宋简体"/>
          <w:b/>
          <w:bCs/>
          <w:color w:val="000000"/>
          <w:sz w:val="36"/>
          <w:szCs w:val="36"/>
        </w:rPr>
        <w:fldChar w:fldCharType="separate"/>
      </w:r>
    </w:p>
    <w:p>
      <w:pPr>
        <w:pStyle w:val="11"/>
        <w:spacing w:line="560" w:lineRule="exact"/>
        <w:rPr>
          <w:rFonts w:eastAsia="宋体" w:cs="Times New Roman"/>
          <w:sz w:val="21"/>
          <w:szCs w:val="21"/>
        </w:rPr>
      </w:pPr>
      <w:r>
        <w:fldChar w:fldCharType="begin"/>
      </w:r>
      <w:r>
        <w:instrText xml:space="preserve"> HYPERLINK \l "_Toc72935876" </w:instrText>
      </w:r>
      <w:r>
        <w:fldChar w:fldCharType="separate"/>
      </w:r>
      <w:r>
        <w:rPr>
          <w:rStyle w:val="16"/>
          <w:rFonts w:hint="eastAsia" w:ascii="方正小标宋_GBK" w:cs="方正小标宋_GBK"/>
        </w:rPr>
        <w:t>第一篇</w:t>
      </w:r>
      <w:r>
        <w:rPr>
          <w:rFonts w:eastAsia="宋体" w:cs="Times New Roman"/>
          <w:sz w:val="21"/>
          <w:szCs w:val="21"/>
        </w:rPr>
        <w:tab/>
      </w:r>
      <w:r>
        <w:rPr>
          <w:rStyle w:val="16"/>
          <w:rFonts w:hint="eastAsia" w:ascii="方正小标宋_GBK" w:cs="方正小标宋_GBK"/>
        </w:rPr>
        <w:t>全面开启新阶段现代化新休宁建设新征程</w:t>
      </w:r>
      <w:r>
        <w:rPr>
          <w:rFonts w:cs="Times New Roman"/>
        </w:rPr>
        <w:tab/>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_Toc72935876 \h </w:instrText>
      </w:r>
      <w:r>
        <w:rPr>
          <w:rFonts w:ascii="Times New Roman" w:hAnsi="Times New Roman" w:cs="Times New Roman"/>
          <w:b w:val="0"/>
          <w:bCs w:val="0"/>
        </w:rPr>
        <w:fldChar w:fldCharType="separate"/>
      </w:r>
      <w:r>
        <w:rPr>
          <w:rFonts w:ascii="Times New Roman" w:hAnsi="Times New Roman" w:cs="Times New Roman"/>
          <w:b w:val="0"/>
          <w:bCs w:val="0"/>
        </w:rPr>
        <w:t>3</w:t>
      </w:r>
      <w:r>
        <w:rPr>
          <w:rFonts w:ascii="Times New Roman" w:hAnsi="Times New Roman" w:cs="Times New Roman"/>
          <w:b w:val="0"/>
          <w:bCs w:val="0"/>
        </w:rPr>
        <w:fldChar w:fldCharType="end"/>
      </w:r>
      <w:r>
        <w:rPr>
          <w:rFonts w:ascii="Times New Roman" w:hAnsi="Times New Roman" w:cs="Times New Roman"/>
          <w:b w:val="0"/>
          <w:bCs w:val="0"/>
        </w:rPr>
        <w:fldChar w:fldCharType="end"/>
      </w:r>
    </w:p>
    <w:p>
      <w:pPr>
        <w:pStyle w:val="12"/>
        <w:spacing w:line="560" w:lineRule="exact"/>
        <w:rPr>
          <w:rFonts w:cs="Times New Roman"/>
          <w:sz w:val="21"/>
          <w:szCs w:val="21"/>
        </w:rPr>
      </w:pPr>
      <w:r>
        <w:fldChar w:fldCharType="begin"/>
      </w:r>
      <w:r>
        <w:instrText xml:space="preserve"> HYPERLINK \l "_Toc72935877" </w:instrText>
      </w:r>
      <w:r>
        <w:fldChar w:fldCharType="separate"/>
      </w:r>
      <w:r>
        <w:rPr>
          <w:rStyle w:val="16"/>
          <w:rFonts w:hint="eastAsia" w:ascii="黑体" w:hAnsi="黑体" w:cs="黑体"/>
        </w:rPr>
        <w:t>第一章</w:t>
      </w:r>
      <w:r>
        <w:rPr>
          <w:rFonts w:cs="Times New Roman"/>
          <w:sz w:val="21"/>
          <w:szCs w:val="21"/>
        </w:rPr>
        <w:tab/>
      </w:r>
      <w:r>
        <w:rPr>
          <w:rStyle w:val="16"/>
          <w:rFonts w:hint="eastAsia" w:ascii="黑体" w:cs="黑体"/>
        </w:rPr>
        <w:t>“</w:t>
      </w:r>
      <w:r>
        <w:rPr>
          <w:rStyle w:val="16"/>
          <w:rFonts w:hint="eastAsia" w:ascii="黑体" w:hAnsi="黑体" w:cs="黑体"/>
        </w:rPr>
        <w:t>十三五</w:t>
      </w:r>
      <w:r>
        <w:rPr>
          <w:rStyle w:val="16"/>
          <w:rFonts w:hint="eastAsia" w:ascii="黑体" w:cs="黑体"/>
        </w:rPr>
        <w:t>”</w:t>
      </w:r>
      <w:r>
        <w:rPr>
          <w:rStyle w:val="16"/>
          <w:rFonts w:hint="eastAsia" w:ascii="黑体" w:hAnsi="黑体" w:cs="黑体"/>
        </w:rPr>
        <w:t>发展成就</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_Toc72935877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12"/>
        <w:spacing w:line="560" w:lineRule="exact"/>
        <w:rPr>
          <w:rFonts w:cs="Times New Roman"/>
          <w:sz w:val="21"/>
          <w:szCs w:val="21"/>
        </w:rPr>
      </w:pPr>
      <w:r>
        <w:fldChar w:fldCharType="begin"/>
      </w:r>
      <w:r>
        <w:instrText xml:space="preserve"> HYPERLINK \l "_Toc72935878" </w:instrText>
      </w:r>
      <w:r>
        <w:fldChar w:fldCharType="separate"/>
      </w:r>
      <w:r>
        <w:rPr>
          <w:rStyle w:val="16"/>
          <w:rFonts w:hint="eastAsia" w:ascii="黑体" w:hAnsi="黑体" w:cs="黑体"/>
        </w:rPr>
        <w:t>第二章</w:t>
      </w:r>
      <w:r>
        <w:rPr>
          <w:rFonts w:cs="Times New Roman"/>
          <w:sz w:val="21"/>
          <w:szCs w:val="21"/>
        </w:rPr>
        <w:tab/>
      </w:r>
      <w:r>
        <w:rPr>
          <w:rStyle w:val="16"/>
          <w:rFonts w:hint="eastAsia" w:ascii="黑体" w:cs="黑体"/>
        </w:rPr>
        <w:t>“</w:t>
      </w:r>
      <w:r>
        <w:rPr>
          <w:rStyle w:val="16"/>
          <w:rFonts w:hint="eastAsia" w:ascii="黑体" w:hAnsi="黑体" w:cs="黑体"/>
        </w:rPr>
        <w:t>十四五</w:t>
      </w:r>
      <w:r>
        <w:rPr>
          <w:rStyle w:val="16"/>
          <w:rFonts w:hint="eastAsia" w:ascii="黑体" w:cs="黑体"/>
        </w:rPr>
        <w:t>”</w:t>
      </w:r>
      <w:r>
        <w:rPr>
          <w:rStyle w:val="16"/>
          <w:rFonts w:hint="eastAsia" w:ascii="黑体" w:hAnsi="黑体" w:cs="黑体"/>
        </w:rPr>
        <w:t>发展环境</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_Toc72935878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12"/>
        <w:spacing w:line="560" w:lineRule="exact"/>
        <w:rPr>
          <w:rFonts w:cs="Times New Roman"/>
          <w:sz w:val="21"/>
          <w:szCs w:val="21"/>
        </w:rPr>
      </w:pPr>
      <w:r>
        <w:fldChar w:fldCharType="begin"/>
      </w:r>
      <w:r>
        <w:instrText xml:space="preserve"> HYPERLINK \l "_Toc72935879" </w:instrText>
      </w:r>
      <w:r>
        <w:fldChar w:fldCharType="separate"/>
      </w:r>
      <w:r>
        <w:rPr>
          <w:rStyle w:val="16"/>
          <w:rFonts w:hint="eastAsia" w:ascii="黑体" w:hAnsi="黑体" w:cs="黑体"/>
        </w:rPr>
        <w:t>第三章</w:t>
      </w:r>
      <w:r>
        <w:rPr>
          <w:rFonts w:cs="Times New Roman"/>
          <w:sz w:val="21"/>
          <w:szCs w:val="21"/>
        </w:rPr>
        <w:tab/>
      </w:r>
      <w:r>
        <w:rPr>
          <w:rStyle w:val="16"/>
          <w:rFonts w:hint="eastAsia" w:ascii="黑体" w:cs="黑体"/>
        </w:rPr>
        <w:t>“</w:t>
      </w:r>
      <w:r>
        <w:rPr>
          <w:rStyle w:val="16"/>
          <w:rFonts w:hint="eastAsia" w:ascii="黑体" w:hAnsi="黑体" w:cs="黑体"/>
        </w:rPr>
        <w:t>十四五</w:t>
      </w:r>
      <w:r>
        <w:rPr>
          <w:rStyle w:val="16"/>
          <w:rFonts w:hint="eastAsia" w:ascii="黑体" w:cs="黑体"/>
        </w:rPr>
        <w:t>”</w:t>
      </w:r>
      <w:r>
        <w:rPr>
          <w:rStyle w:val="16"/>
          <w:rFonts w:hint="eastAsia" w:ascii="黑体" w:hAnsi="黑体" w:cs="黑体"/>
        </w:rPr>
        <w:t>发展蓝图</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_Toc72935879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"_Toc72935880"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指导思想和基本原则</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_Toc72935880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"_Toc72935881"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发展战略</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_Toc72935881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"_Toc72935882"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发展定位</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_Toc72935882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"_Toc72935883"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主要目标</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_Toc72935883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1"/>
        <w:spacing w:line="560" w:lineRule="exact"/>
        <w:rPr>
          <w:rFonts w:eastAsia="宋体" w:cs="Times New Roman"/>
          <w:sz w:val="21"/>
          <w:szCs w:val="21"/>
        </w:rPr>
      </w:pPr>
      <w:r>
        <w:fldChar w:fldCharType="begin"/>
      </w:r>
      <w:r>
        <w:instrText xml:space="preserve"> HYPERLINK \l "_Toc72935884" </w:instrText>
      </w:r>
      <w:r>
        <w:fldChar w:fldCharType="separate"/>
      </w:r>
      <w:r>
        <w:rPr>
          <w:rStyle w:val="16"/>
          <w:rFonts w:hint="eastAsia" w:ascii="方正小标宋_GBK" w:cs="方正小标宋_GBK"/>
        </w:rPr>
        <w:t>第二篇</w:t>
      </w:r>
      <w:r>
        <w:rPr>
          <w:rFonts w:eastAsia="宋体" w:cs="Times New Roman"/>
          <w:sz w:val="21"/>
          <w:szCs w:val="21"/>
        </w:rPr>
        <w:tab/>
      </w:r>
      <w:r>
        <w:rPr>
          <w:rStyle w:val="16"/>
          <w:rFonts w:hint="eastAsia" w:ascii="方正小标宋_GBK" w:cs="方正小标宋_GBK"/>
        </w:rPr>
        <w:t>高质量完成</w:t>
      </w:r>
      <w:r>
        <w:rPr>
          <w:rStyle w:val="16"/>
          <w:rFonts w:ascii="方正小标宋_GBK"/>
        </w:rPr>
        <w:t>“</w:t>
      </w:r>
      <w:r>
        <w:rPr>
          <w:rStyle w:val="16"/>
          <w:rFonts w:hint="eastAsia" w:ascii="方正小标宋_GBK" w:cs="方正小标宋_GBK"/>
        </w:rPr>
        <w:t>十四五</w:t>
      </w:r>
      <w:r>
        <w:rPr>
          <w:rStyle w:val="16"/>
          <w:rFonts w:ascii="方正小标宋_GBK"/>
        </w:rPr>
        <w:t>”</w:t>
      </w:r>
      <w:r>
        <w:rPr>
          <w:rStyle w:val="16"/>
          <w:rFonts w:hint="eastAsia" w:ascii="方正小标宋_GBK" w:cs="方正小标宋_GBK"/>
        </w:rPr>
        <w:t>重点任务和重大举措</w:t>
      </w:r>
      <w:r>
        <w:rPr>
          <w:rFonts w:cs="Times New Roman"/>
        </w:rPr>
        <w:tab/>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_Toc72935884 \h </w:instrText>
      </w:r>
      <w:r>
        <w:rPr>
          <w:rFonts w:ascii="Times New Roman" w:hAnsi="Times New Roman" w:cs="Times New Roman"/>
          <w:b w:val="0"/>
          <w:bCs w:val="0"/>
        </w:rPr>
        <w:fldChar w:fldCharType="separate"/>
      </w:r>
      <w:r>
        <w:rPr>
          <w:rFonts w:ascii="Times New Roman" w:hAnsi="Times New Roman" w:cs="Times New Roman"/>
          <w:b w:val="0"/>
          <w:bCs w:val="0"/>
        </w:rPr>
        <w:t>3</w:t>
      </w:r>
      <w:r>
        <w:rPr>
          <w:rFonts w:ascii="Times New Roman" w:hAnsi="Times New Roman" w:cs="Times New Roman"/>
          <w:b w:val="0"/>
          <w:bCs w:val="0"/>
        </w:rPr>
        <w:fldChar w:fldCharType="end"/>
      </w:r>
      <w:r>
        <w:rPr>
          <w:rFonts w:ascii="Times New Roman" w:hAnsi="Times New Roman" w:cs="Times New Roman"/>
          <w:b w:val="0"/>
          <w:bCs w:val="0"/>
        </w:rPr>
        <w:fldChar w:fldCharType="end"/>
      </w:r>
    </w:p>
    <w:p>
      <w:pPr>
        <w:pStyle w:val="12"/>
        <w:spacing w:line="560" w:lineRule="exact"/>
        <w:rPr>
          <w:rFonts w:eastAsia="宋体" w:cs="Times New Roman"/>
          <w:sz w:val="21"/>
          <w:szCs w:val="21"/>
        </w:rPr>
      </w:pPr>
      <w:r>
        <w:fldChar w:fldCharType="begin"/>
      </w:r>
      <w:r>
        <w:instrText xml:space="preserve"> HYPERLINK \l "_Toc72935885" </w:instrText>
      </w:r>
      <w:r>
        <w:fldChar w:fldCharType="separate"/>
      </w:r>
      <w:r>
        <w:rPr>
          <w:rStyle w:val="16"/>
          <w:rFonts w:hint="eastAsia" w:ascii="黑体" w:hAnsi="黑体" w:cs="黑体"/>
        </w:rPr>
        <w:t>第一章</w:t>
      </w:r>
      <w:r>
        <w:rPr>
          <w:rFonts w:eastAsia="宋体" w:cs="Times New Roman"/>
          <w:sz w:val="21"/>
          <w:szCs w:val="21"/>
        </w:rPr>
        <w:tab/>
      </w:r>
      <w:r>
        <w:rPr>
          <w:rStyle w:val="16"/>
          <w:rFonts w:hint="eastAsia" w:cs="黑体"/>
        </w:rPr>
        <w:t>加快形成现代产业体系</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_Toc72935885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"_Toc72935886"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培育壮大主导产业</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_Toc72935886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"_Toc72935887"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大力发展生产性服务业</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_Toc72935887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"_Toc72935888"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积极发展数字产业</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_Toc72935888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"_Toc72935889"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巩固提升产业承接能力</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_Toc72935889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"_Toc72935890" </w:instrText>
      </w:r>
      <w:r>
        <w:fldChar w:fldCharType="separate"/>
      </w:r>
      <w:r>
        <w:rPr>
          <w:rStyle w:val="16"/>
          <w:rFonts w:hint="eastAsia" w:ascii="黑体" w:hAnsi="黑体" w:cs="黑体"/>
        </w:rPr>
        <w:t>第二章</w:t>
      </w:r>
      <w:r>
        <w:rPr>
          <w:rFonts w:eastAsia="宋体" w:cs="Times New Roman"/>
          <w:sz w:val="21"/>
          <w:szCs w:val="21"/>
        </w:rPr>
        <w:tab/>
      </w:r>
      <w:r>
        <w:rPr>
          <w:rStyle w:val="16"/>
          <w:rFonts w:hint="eastAsia" w:ascii="仿宋_GB2312" w:cs="黑体"/>
        </w:rPr>
        <w:t>全力厚植发展新优势</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_Toc72935890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"_Toc72935891"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全面提升综合竞争力</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_Toc72935891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"_Toc72935892"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推进长三角一体化和开放发展</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_Toc72935892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"_Toc72935893"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全面深化重点领域改革</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_Toc72935893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"_Toc72935894" </w:instrText>
      </w:r>
      <w:r>
        <w:fldChar w:fldCharType="separate"/>
      </w:r>
      <w:r>
        <w:rPr>
          <w:rStyle w:val="16"/>
          <w:rFonts w:hint="eastAsia" w:ascii="黑体" w:hAnsi="黑体" w:cs="黑体"/>
        </w:rPr>
        <w:t>第三章</w:t>
      </w:r>
      <w:r>
        <w:rPr>
          <w:rFonts w:eastAsia="宋体" w:cs="Times New Roman"/>
          <w:sz w:val="21"/>
          <w:szCs w:val="21"/>
        </w:rPr>
        <w:tab/>
      </w:r>
      <w:r>
        <w:rPr>
          <w:rStyle w:val="16"/>
          <w:rFonts w:hint="eastAsia" w:ascii="黑体" w:hAnsi="黑体" w:cs="黑体"/>
        </w:rPr>
        <w:t>引领城乡区域协调发展</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_Toc72935894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"_Toc72935895"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建设高品质美丽新城区</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_Toc72935895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sectPr>
          <w:footerReference r:id="rId8" w:type="first"/>
          <w:footerReference r:id="rId7" w:type="default"/>
          <w:pgSz w:w="11906" w:h="16838"/>
          <w:pgMar w:top="2098" w:right="1134" w:bottom="1984" w:left="1531" w:header="851" w:footer="992" w:gutter="0"/>
          <w:pgNumType w:start="1"/>
          <w:cols w:space="720" w:num="1"/>
          <w:docGrid w:type="lines" w:linePitch="435" w:charSpace="0"/>
        </w:sectPr>
      </w:pPr>
    </w:p>
    <w:p>
      <w:pPr>
        <w:pStyle w:val="7"/>
        <w:spacing w:line="560" w:lineRule="exact"/>
        <w:rPr>
          <w:rFonts w:ascii="仿宋_GB2312" w:cs="Times New Roman"/>
          <w:sz w:val="21"/>
          <w:szCs w:val="21"/>
        </w:rPr>
      </w:pPr>
      <w:r>
        <w:fldChar w:fldCharType="begin"/>
      </w:r>
      <w:r>
        <w:instrText xml:space="preserve"> HYPERLINK \l "_Toc72935896"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大力实施新型城镇化</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_Toc72935896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"_Toc72935897"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提高城市管理水平</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_Toc72935897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"_Toc72935898" </w:instrText>
      </w:r>
      <w:r>
        <w:fldChar w:fldCharType="separate"/>
      </w:r>
      <w:r>
        <w:rPr>
          <w:rStyle w:val="16"/>
          <w:rFonts w:hint="eastAsia" w:ascii="黑体" w:hAnsi="黑体" w:cs="黑体"/>
        </w:rPr>
        <w:t>第四章</w:t>
      </w:r>
      <w:r>
        <w:rPr>
          <w:rFonts w:eastAsia="宋体" w:cs="Times New Roman"/>
          <w:sz w:val="21"/>
          <w:szCs w:val="21"/>
        </w:rPr>
        <w:tab/>
      </w:r>
      <w:r>
        <w:rPr>
          <w:rStyle w:val="16"/>
          <w:rFonts w:hint="eastAsia" w:cs="黑体"/>
        </w:rPr>
        <w:t>推动旅游业提质增效</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_Toc72935898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"_Toc72935899"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完善旅游发展布局</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_Toc72935899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"_Toc72935900"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推进旅游多业融合</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_Toc72935900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"_Toc72935901"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提升文旅品牌影响力</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_Toc72935901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"_Toc72935902"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提升旅游发展效益</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_Toc72935902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"_Toc72935903" </w:instrText>
      </w:r>
      <w:r>
        <w:fldChar w:fldCharType="separate"/>
      </w:r>
      <w:r>
        <w:rPr>
          <w:rStyle w:val="16"/>
          <w:rFonts w:hint="eastAsia" w:ascii="黑体" w:hAnsi="黑体" w:cs="黑体"/>
        </w:rPr>
        <w:t>第五章</w:t>
      </w:r>
      <w:r>
        <w:rPr>
          <w:rFonts w:eastAsia="宋体" w:cs="Times New Roman"/>
          <w:sz w:val="21"/>
          <w:szCs w:val="21"/>
        </w:rPr>
        <w:tab/>
      </w:r>
      <w:r>
        <w:rPr>
          <w:rStyle w:val="16"/>
          <w:rFonts w:hint="eastAsia" w:cs="黑体"/>
        </w:rPr>
        <w:t>全面推进乡村振兴</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_Toc72935903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"_Toc72935904"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提升特色农业发展水平</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_Toc72935904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"_Toc72935905"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推进农村产业融合发展</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_Toc72935905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"_Toc72935906"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hAnsi="楷体" w:cs="仿宋_GB2312"/>
        </w:rPr>
        <w:t>促进农业与科技融合</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_Toc72935906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"_Toc72935907"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实施乡村建设行动</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_Toc72935907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"_Toc72935908" </w:instrText>
      </w:r>
      <w:r>
        <w:fldChar w:fldCharType="separate"/>
      </w:r>
      <w:r>
        <w:rPr>
          <w:rStyle w:val="16"/>
          <w:rFonts w:hint="eastAsia" w:ascii="黑体" w:hAnsi="黑体" w:cs="黑体"/>
        </w:rPr>
        <w:t>第六章</w:t>
      </w:r>
      <w:r>
        <w:rPr>
          <w:rFonts w:eastAsia="宋体" w:cs="Times New Roman"/>
          <w:sz w:val="21"/>
          <w:szCs w:val="21"/>
        </w:rPr>
        <w:tab/>
      </w:r>
      <w:r>
        <w:rPr>
          <w:rStyle w:val="16"/>
          <w:rFonts w:hint="eastAsia" w:ascii="黑体" w:hAnsi="黑体" w:cs="黑体"/>
        </w:rPr>
        <w:t>促进经济社会发展全面绿色转型</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_Toc72935908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"_Toc72935909"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完善绿色生态系统</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_Toc72935909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"_Toc72935910"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形成绿色发展方式和生活方式</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_Toc72935910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"_Toc72935911"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促进资源高效节约利用</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_Toc72935911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"_Toc72935912"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落实主体功能区战略</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_Toc72935912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"_Toc72935913" </w:instrText>
      </w:r>
      <w:r>
        <w:fldChar w:fldCharType="separate"/>
      </w:r>
      <w:r>
        <w:rPr>
          <w:rStyle w:val="16"/>
          <w:rFonts w:hint="eastAsia" w:ascii="仿宋_GB2312" w:hAnsi="楷体" w:cs="仿宋_GB2312"/>
        </w:rPr>
        <w:t>第五节</w:t>
      </w:r>
      <w:r>
        <w:rPr>
          <w:rFonts w:ascii="仿宋_GB2312" w:cs="Times New Roman"/>
          <w:sz w:val="21"/>
          <w:szCs w:val="21"/>
        </w:rPr>
        <w:tab/>
      </w:r>
      <w:r>
        <w:rPr>
          <w:rStyle w:val="16"/>
          <w:rFonts w:hint="eastAsia" w:ascii="仿宋_GB2312" w:cs="仿宋_GB2312"/>
        </w:rPr>
        <w:t>加强环境综合治理</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_Toc72935913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"_Toc72935914" </w:instrText>
      </w:r>
      <w:r>
        <w:fldChar w:fldCharType="separate"/>
      </w:r>
      <w:r>
        <w:rPr>
          <w:rStyle w:val="16"/>
          <w:rFonts w:hint="eastAsia" w:ascii="黑体" w:hAnsi="黑体" w:cs="黑体"/>
        </w:rPr>
        <w:t>第七章</w:t>
      </w:r>
      <w:r>
        <w:rPr>
          <w:rFonts w:eastAsia="宋体" w:cs="Times New Roman"/>
          <w:sz w:val="21"/>
          <w:szCs w:val="21"/>
        </w:rPr>
        <w:tab/>
      </w:r>
      <w:r>
        <w:rPr>
          <w:rStyle w:val="16"/>
          <w:rFonts w:hint="eastAsia" w:ascii="仿宋_GB2312" w:cs="黑体"/>
        </w:rPr>
        <w:t>全面扩大内需市场</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_Toc72935914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"_Toc72935915"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拓展消费业态和消费供给</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_Toc72935915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"_Toc72935916"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提升消费市场环境</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_Toc72935916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"_Toc72935917" </w:instrText>
      </w:r>
      <w:r>
        <w:fldChar w:fldCharType="separate"/>
      </w:r>
      <w:r>
        <w:rPr>
          <w:rStyle w:val="16"/>
          <w:rFonts w:hint="eastAsia" w:ascii="黑体" w:hAnsi="黑体" w:cs="黑体"/>
        </w:rPr>
        <w:t>第八章</w:t>
      </w:r>
      <w:r>
        <w:rPr>
          <w:rFonts w:eastAsia="宋体" w:cs="Times New Roman"/>
          <w:sz w:val="21"/>
          <w:szCs w:val="21"/>
        </w:rPr>
        <w:tab/>
      </w:r>
      <w:r>
        <w:rPr>
          <w:rStyle w:val="16"/>
          <w:rFonts w:hint="eastAsia" w:cs="黑体"/>
        </w:rPr>
        <w:t>高水平构筑城乡基础设施体系</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_Toc72935917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sectPr>
          <w:footerReference r:id="rId9" w:type="default"/>
          <w:pgSz w:w="11906" w:h="16838"/>
          <w:pgMar w:top="2098" w:right="1134" w:bottom="1984" w:left="1531" w:header="851" w:footer="992" w:gutter="0"/>
          <w:pgNumType w:start="1"/>
          <w:cols w:space="720" w:num="1"/>
          <w:docGrid w:type="lines" w:linePitch="435" w:charSpace="0"/>
        </w:sectPr>
      </w:pPr>
    </w:p>
    <w:p>
      <w:pPr>
        <w:pStyle w:val="7"/>
        <w:spacing w:line="560" w:lineRule="exact"/>
        <w:rPr>
          <w:rFonts w:ascii="仿宋_GB2312" w:cs="Times New Roman"/>
          <w:sz w:val="21"/>
          <w:szCs w:val="21"/>
        </w:rPr>
      </w:pPr>
      <w:r>
        <w:fldChar w:fldCharType="begin"/>
      </w:r>
      <w:r>
        <w:instrText xml:space="preserve"> HYPERLINK \l "_Toc72935918"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提高现代综合保障能力</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_Toc72935918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"_Toc72935919"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加快新型基础设施建设</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_Toc72935919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"_Toc72935920"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加快实现“智慧休宁”</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_Toc72935920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"_Toc72935921" </w:instrText>
      </w:r>
      <w:r>
        <w:fldChar w:fldCharType="separate"/>
      </w:r>
      <w:r>
        <w:rPr>
          <w:rStyle w:val="16"/>
          <w:rFonts w:hint="eastAsia" w:ascii="黑体" w:hAnsi="黑体" w:cs="黑体"/>
        </w:rPr>
        <w:t>第九章</w:t>
      </w:r>
      <w:r>
        <w:rPr>
          <w:rFonts w:eastAsia="宋体" w:cs="Times New Roman"/>
          <w:sz w:val="21"/>
          <w:szCs w:val="21"/>
        </w:rPr>
        <w:tab/>
      </w:r>
      <w:r>
        <w:rPr>
          <w:rStyle w:val="16"/>
          <w:rFonts w:hint="eastAsia" w:ascii="黑体" w:hAnsi="黑体" w:cs="黑体"/>
        </w:rPr>
        <w:t>全面提高人民群众获得感幸福感</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_Toc72935921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"_Toc72935922"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保障充分就业和居民增收</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_Toc72935922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"_Toc72935923"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提升教育质量和水平</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_Toc72935923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"_Toc72935924"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持续推进健康休宁建设</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_Toc72935924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"_Toc72935925"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推动文化繁荣发展</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_Toc72935925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"_Toc72935926" </w:instrText>
      </w:r>
      <w:r>
        <w:fldChar w:fldCharType="separate"/>
      </w:r>
      <w:r>
        <w:rPr>
          <w:rStyle w:val="16"/>
          <w:rFonts w:hint="eastAsia" w:ascii="仿宋_GB2312" w:hAnsi="楷体" w:cs="仿宋_GB2312"/>
        </w:rPr>
        <w:t>第五节</w:t>
      </w:r>
      <w:r>
        <w:rPr>
          <w:rFonts w:ascii="仿宋_GB2312" w:cs="Times New Roman"/>
          <w:sz w:val="21"/>
          <w:szCs w:val="21"/>
        </w:rPr>
        <w:tab/>
      </w:r>
      <w:r>
        <w:rPr>
          <w:rStyle w:val="16"/>
          <w:rFonts w:hint="eastAsia" w:ascii="仿宋_GB2312" w:cs="仿宋_GB2312"/>
        </w:rPr>
        <w:t>健全多层次社会保障体系</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_Toc72935926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2"/>
        <w:spacing w:line="560" w:lineRule="exact"/>
        <w:rPr>
          <w:rFonts w:eastAsia="宋体" w:cs="Times New Roman"/>
          <w:sz w:val="21"/>
          <w:szCs w:val="21"/>
        </w:rPr>
      </w:pPr>
      <w:r>
        <w:fldChar w:fldCharType="begin"/>
      </w:r>
      <w:r>
        <w:instrText xml:space="preserve"> HYPERLINK \l "_Toc72935927" </w:instrText>
      </w:r>
      <w:r>
        <w:fldChar w:fldCharType="separate"/>
      </w:r>
      <w:r>
        <w:rPr>
          <w:rStyle w:val="16"/>
          <w:rFonts w:hint="eastAsia" w:ascii="黑体" w:hAnsi="黑体" w:cs="黑体"/>
        </w:rPr>
        <w:t>第十章</w:t>
      </w:r>
      <w:r>
        <w:rPr>
          <w:rFonts w:eastAsia="宋体" w:cs="Times New Roman"/>
          <w:sz w:val="21"/>
          <w:szCs w:val="21"/>
        </w:rPr>
        <w:tab/>
      </w:r>
      <w:r>
        <w:rPr>
          <w:rStyle w:val="16"/>
          <w:rFonts w:hint="eastAsia" w:ascii="黑体" w:hAnsi="黑体" w:cs="黑体"/>
        </w:rPr>
        <w:t>建设高水平平安休宁</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_Toc72935927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7"/>
        <w:spacing w:line="560" w:lineRule="exact"/>
        <w:rPr>
          <w:rFonts w:ascii="仿宋_GB2312" w:cs="Times New Roman"/>
          <w:sz w:val="21"/>
          <w:szCs w:val="21"/>
        </w:rPr>
      </w:pPr>
      <w:r>
        <w:fldChar w:fldCharType="begin"/>
      </w:r>
      <w:r>
        <w:instrText xml:space="preserve"> HYPERLINK \l "_Toc72935928" </w:instrText>
      </w:r>
      <w:r>
        <w:fldChar w:fldCharType="separate"/>
      </w:r>
      <w:r>
        <w:rPr>
          <w:rStyle w:val="16"/>
          <w:rFonts w:hint="eastAsia" w:ascii="仿宋_GB2312" w:hAnsi="楷体" w:cs="仿宋_GB2312"/>
        </w:rPr>
        <w:t>第一节</w:t>
      </w:r>
      <w:r>
        <w:rPr>
          <w:rFonts w:ascii="仿宋_GB2312" w:cs="Times New Roman"/>
          <w:sz w:val="21"/>
          <w:szCs w:val="21"/>
        </w:rPr>
        <w:tab/>
      </w:r>
      <w:r>
        <w:rPr>
          <w:rStyle w:val="16"/>
          <w:rFonts w:hint="eastAsia" w:ascii="仿宋_GB2312" w:cs="仿宋_GB2312"/>
        </w:rPr>
        <w:t>全面提高公共安全保障能力</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_Toc72935928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"_Toc72935929" </w:instrText>
      </w:r>
      <w:r>
        <w:fldChar w:fldCharType="separate"/>
      </w:r>
      <w:r>
        <w:rPr>
          <w:rStyle w:val="16"/>
          <w:rFonts w:hint="eastAsia" w:ascii="仿宋_GB2312" w:hAnsi="楷体" w:cs="仿宋_GB2312"/>
        </w:rPr>
        <w:t>第二节</w:t>
      </w:r>
      <w:r>
        <w:rPr>
          <w:rFonts w:ascii="仿宋_GB2312" w:cs="Times New Roman"/>
          <w:sz w:val="21"/>
          <w:szCs w:val="21"/>
        </w:rPr>
        <w:tab/>
      </w:r>
      <w:r>
        <w:rPr>
          <w:rStyle w:val="16"/>
          <w:rFonts w:hint="eastAsia" w:ascii="仿宋_GB2312" w:cs="仿宋_GB2312"/>
        </w:rPr>
        <w:t>完善基层社会治理</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_Toc72935929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"_Toc72935930" </w:instrText>
      </w:r>
      <w:r>
        <w:fldChar w:fldCharType="separate"/>
      </w:r>
      <w:r>
        <w:rPr>
          <w:rStyle w:val="16"/>
          <w:rFonts w:hint="eastAsia" w:ascii="仿宋_GB2312" w:hAnsi="楷体" w:cs="仿宋_GB2312"/>
        </w:rPr>
        <w:t>第三节</w:t>
      </w:r>
      <w:r>
        <w:rPr>
          <w:rFonts w:ascii="仿宋_GB2312" w:cs="Times New Roman"/>
          <w:sz w:val="21"/>
          <w:szCs w:val="21"/>
        </w:rPr>
        <w:tab/>
      </w:r>
      <w:r>
        <w:rPr>
          <w:rStyle w:val="16"/>
          <w:rFonts w:hint="eastAsia" w:ascii="仿宋_GB2312" w:cs="仿宋_GB2312"/>
        </w:rPr>
        <w:t>健全风险防控体系</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_Toc72935930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7"/>
        <w:spacing w:line="560" w:lineRule="exact"/>
        <w:rPr>
          <w:rFonts w:ascii="仿宋_GB2312" w:cs="Times New Roman"/>
          <w:sz w:val="21"/>
          <w:szCs w:val="21"/>
        </w:rPr>
      </w:pPr>
      <w:r>
        <w:fldChar w:fldCharType="begin"/>
      </w:r>
      <w:r>
        <w:instrText xml:space="preserve"> HYPERLINK \l "_Toc72935931" </w:instrText>
      </w:r>
      <w:r>
        <w:fldChar w:fldCharType="separate"/>
      </w:r>
      <w:r>
        <w:rPr>
          <w:rStyle w:val="16"/>
          <w:rFonts w:hint="eastAsia" w:ascii="仿宋_GB2312" w:hAnsi="楷体" w:cs="仿宋_GB2312"/>
        </w:rPr>
        <w:t>第四节</w:t>
      </w:r>
      <w:r>
        <w:rPr>
          <w:rFonts w:ascii="仿宋_GB2312" w:cs="Times New Roman"/>
          <w:sz w:val="21"/>
          <w:szCs w:val="21"/>
        </w:rPr>
        <w:tab/>
      </w:r>
      <w:r>
        <w:rPr>
          <w:rStyle w:val="16"/>
          <w:rFonts w:hint="eastAsia" w:ascii="仿宋_GB2312" w:cs="仿宋_GB2312"/>
        </w:rPr>
        <w:t>推进法治休宁建设</w:t>
      </w:r>
      <w:r>
        <w:rPr>
          <w:rFonts w:ascii="仿宋_GB2312" w:cs="Times New Roman"/>
        </w:rPr>
        <w:tab/>
      </w:r>
      <w:r>
        <w:rPr>
          <w:rFonts w:ascii="Times New Roman" w:hAnsi="Times New Roman" w:eastAsia="方正小标宋_GBK" w:cs="Times New Roman"/>
          <w:caps/>
        </w:rPr>
        <w:fldChar w:fldCharType="begin"/>
      </w:r>
      <w:r>
        <w:rPr>
          <w:rFonts w:ascii="Times New Roman" w:hAnsi="Times New Roman" w:eastAsia="方正小标宋_GBK" w:cs="Times New Roman"/>
          <w:caps/>
        </w:rPr>
        <w:instrText xml:space="preserve"> PAGEREF _Toc72935931 \h </w:instrText>
      </w:r>
      <w:r>
        <w:rPr>
          <w:rFonts w:ascii="Times New Roman" w:hAnsi="Times New Roman" w:eastAsia="方正小标宋_GBK" w:cs="Times New Roman"/>
          <w:caps/>
        </w:rPr>
        <w:fldChar w:fldCharType="separate"/>
      </w:r>
      <w:r>
        <w:rPr>
          <w:rFonts w:ascii="Times New Roman" w:hAnsi="Times New Roman" w:eastAsia="方正小标宋_GBK" w:cs="Times New Roman"/>
          <w:caps/>
        </w:rPr>
        <w:t>3</w:t>
      </w:r>
      <w:r>
        <w:rPr>
          <w:rFonts w:ascii="Times New Roman" w:hAnsi="Times New Roman" w:eastAsia="方正小标宋_GBK" w:cs="Times New Roman"/>
          <w:caps/>
        </w:rPr>
        <w:fldChar w:fldCharType="end"/>
      </w:r>
      <w:r>
        <w:rPr>
          <w:rFonts w:ascii="Times New Roman" w:hAnsi="Times New Roman" w:eastAsia="方正小标宋_GBK" w:cs="Times New Roman"/>
          <w:caps/>
        </w:rPr>
        <w:fldChar w:fldCharType="end"/>
      </w:r>
    </w:p>
    <w:p>
      <w:pPr>
        <w:pStyle w:val="11"/>
        <w:spacing w:line="560" w:lineRule="exact"/>
        <w:rPr>
          <w:rFonts w:eastAsia="宋体" w:cs="Times New Roman"/>
          <w:sz w:val="21"/>
          <w:szCs w:val="21"/>
        </w:rPr>
      </w:pPr>
      <w:r>
        <w:fldChar w:fldCharType="begin"/>
      </w:r>
      <w:r>
        <w:instrText xml:space="preserve"> HYPERLINK \l "_Toc72935932" </w:instrText>
      </w:r>
      <w:r>
        <w:fldChar w:fldCharType="separate"/>
      </w:r>
      <w:r>
        <w:rPr>
          <w:rStyle w:val="16"/>
          <w:rFonts w:hint="eastAsia" w:ascii="方正小标宋_GBK" w:cs="方正小标宋_GBK"/>
        </w:rPr>
        <w:t>第三篇</w:t>
      </w:r>
      <w:r>
        <w:rPr>
          <w:rFonts w:eastAsia="宋体" w:cs="Times New Roman"/>
          <w:sz w:val="21"/>
          <w:szCs w:val="21"/>
        </w:rPr>
        <w:tab/>
      </w:r>
      <w:r>
        <w:rPr>
          <w:rStyle w:val="16"/>
          <w:rFonts w:hint="eastAsia" w:ascii="方正小标宋_GBK" w:cs="方正小标宋_GBK"/>
        </w:rPr>
        <w:t>高标准强化规划实施保障</w:t>
      </w:r>
      <w:r>
        <w:rPr>
          <w:rFonts w:cs="Times New Roman"/>
        </w:rPr>
        <w:tab/>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_Toc72935932 \h </w:instrText>
      </w:r>
      <w:r>
        <w:rPr>
          <w:rFonts w:ascii="Times New Roman" w:hAnsi="Times New Roman" w:cs="Times New Roman"/>
          <w:b w:val="0"/>
          <w:bCs w:val="0"/>
        </w:rPr>
        <w:fldChar w:fldCharType="separate"/>
      </w:r>
      <w:r>
        <w:rPr>
          <w:rFonts w:ascii="Times New Roman" w:hAnsi="Times New Roman" w:cs="Times New Roman"/>
          <w:b w:val="0"/>
          <w:bCs w:val="0"/>
        </w:rPr>
        <w:t>3</w:t>
      </w:r>
      <w:r>
        <w:rPr>
          <w:rFonts w:ascii="Times New Roman" w:hAnsi="Times New Roman" w:cs="Times New Roman"/>
          <w:b w:val="0"/>
          <w:bCs w:val="0"/>
        </w:rPr>
        <w:fldChar w:fldCharType="end"/>
      </w:r>
      <w:r>
        <w:rPr>
          <w:rFonts w:ascii="Times New Roman" w:hAnsi="Times New Roman" w:cs="Times New Roman"/>
          <w:b w:val="0"/>
          <w:bCs w:val="0"/>
        </w:rPr>
        <w:fldChar w:fldCharType="end"/>
      </w:r>
    </w:p>
    <w:p>
      <w:pPr>
        <w:pStyle w:val="12"/>
        <w:spacing w:line="560" w:lineRule="exact"/>
        <w:rPr>
          <w:rFonts w:eastAsia="宋体" w:cs="Times New Roman"/>
          <w:sz w:val="21"/>
          <w:szCs w:val="21"/>
        </w:rPr>
      </w:pPr>
      <w:r>
        <w:fldChar w:fldCharType="begin"/>
      </w:r>
      <w:r>
        <w:instrText xml:space="preserve"> HYPERLINK \l "_Toc72935933" </w:instrText>
      </w:r>
      <w:r>
        <w:fldChar w:fldCharType="separate"/>
      </w:r>
      <w:r>
        <w:rPr>
          <w:rStyle w:val="16"/>
          <w:rFonts w:hint="eastAsia" w:ascii="黑体" w:hAnsi="黑体" w:cs="黑体"/>
        </w:rPr>
        <w:t>第一章</w:t>
      </w:r>
      <w:r>
        <w:rPr>
          <w:rFonts w:eastAsia="宋体" w:cs="Times New Roman"/>
          <w:sz w:val="21"/>
          <w:szCs w:val="21"/>
        </w:rPr>
        <w:tab/>
      </w:r>
      <w:r>
        <w:rPr>
          <w:rStyle w:val="16"/>
          <w:rFonts w:hint="eastAsia" w:cs="黑体"/>
        </w:rPr>
        <w:t>全面加强党的领导</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_Toc72935933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12"/>
        <w:spacing w:line="560" w:lineRule="exact"/>
        <w:rPr>
          <w:rFonts w:eastAsia="宋体" w:cs="Times New Roman"/>
          <w:sz w:val="21"/>
          <w:szCs w:val="21"/>
        </w:rPr>
      </w:pPr>
      <w:r>
        <w:fldChar w:fldCharType="begin"/>
      </w:r>
      <w:r>
        <w:instrText xml:space="preserve"> HYPERLINK \l "_Toc72935934" </w:instrText>
      </w:r>
      <w:r>
        <w:fldChar w:fldCharType="separate"/>
      </w:r>
      <w:r>
        <w:rPr>
          <w:rStyle w:val="16"/>
          <w:rFonts w:hint="eastAsia" w:ascii="黑体" w:hAnsi="黑体" w:cs="黑体"/>
        </w:rPr>
        <w:t>第二章</w:t>
      </w:r>
      <w:r>
        <w:rPr>
          <w:rFonts w:eastAsia="宋体" w:cs="Times New Roman"/>
          <w:sz w:val="21"/>
          <w:szCs w:val="21"/>
        </w:rPr>
        <w:tab/>
      </w:r>
      <w:r>
        <w:rPr>
          <w:rStyle w:val="16"/>
          <w:rFonts w:hint="eastAsia" w:cs="黑体"/>
        </w:rPr>
        <w:t>注重项目带动</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_Toc72935934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12"/>
        <w:spacing w:line="560" w:lineRule="exact"/>
        <w:rPr>
          <w:rFonts w:eastAsia="宋体" w:cs="Times New Roman"/>
          <w:sz w:val="21"/>
          <w:szCs w:val="21"/>
        </w:rPr>
      </w:pPr>
      <w:r>
        <w:fldChar w:fldCharType="begin"/>
      </w:r>
      <w:r>
        <w:instrText xml:space="preserve"> HYPERLINK \l "_Toc72935935" </w:instrText>
      </w:r>
      <w:r>
        <w:fldChar w:fldCharType="separate"/>
      </w:r>
      <w:r>
        <w:rPr>
          <w:rStyle w:val="16"/>
          <w:rFonts w:hint="eastAsia" w:ascii="黑体" w:hAnsi="黑体" w:cs="黑体"/>
        </w:rPr>
        <w:t>第三章</w:t>
      </w:r>
      <w:r>
        <w:rPr>
          <w:rFonts w:eastAsia="宋体" w:cs="Times New Roman"/>
          <w:sz w:val="21"/>
          <w:szCs w:val="21"/>
        </w:rPr>
        <w:tab/>
      </w:r>
      <w:r>
        <w:rPr>
          <w:rStyle w:val="16"/>
          <w:rFonts w:hint="eastAsia" w:cs="黑体"/>
        </w:rPr>
        <w:t>强化要素支撑</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_Toc72935935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pStyle w:val="12"/>
        <w:spacing w:line="560" w:lineRule="exact"/>
        <w:rPr>
          <w:rFonts w:eastAsia="宋体" w:cs="Times New Roman"/>
          <w:sz w:val="21"/>
          <w:szCs w:val="21"/>
        </w:rPr>
      </w:pPr>
      <w:r>
        <w:fldChar w:fldCharType="begin"/>
      </w:r>
      <w:r>
        <w:instrText xml:space="preserve"> HYPERLINK \l "_Toc72935936" </w:instrText>
      </w:r>
      <w:r>
        <w:fldChar w:fldCharType="separate"/>
      </w:r>
      <w:r>
        <w:rPr>
          <w:rStyle w:val="16"/>
          <w:rFonts w:hint="eastAsia" w:ascii="黑体" w:hAnsi="黑体" w:cs="黑体"/>
        </w:rPr>
        <w:t>第四章</w:t>
      </w:r>
      <w:r>
        <w:rPr>
          <w:rFonts w:eastAsia="宋体" w:cs="Times New Roman"/>
          <w:sz w:val="21"/>
          <w:szCs w:val="21"/>
        </w:rPr>
        <w:tab/>
      </w:r>
      <w:r>
        <w:rPr>
          <w:rStyle w:val="16"/>
          <w:rFonts w:hint="eastAsia" w:cs="黑体"/>
        </w:rPr>
        <w:t>健全评估监督机制</w:t>
      </w:r>
      <w:r>
        <w:rPr>
          <w:rFonts w:cs="Times New Roman"/>
        </w:rPr>
        <w:tab/>
      </w:r>
      <w:r>
        <w:rPr>
          <w:rFonts w:ascii="Times New Roman" w:hAnsi="Times New Roman" w:eastAsia="方正小标宋_GBK" w:cs="Times New Roman"/>
          <w:caps/>
          <w:smallCaps w:val="0"/>
        </w:rPr>
        <w:fldChar w:fldCharType="begin"/>
      </w:r>
      <w:r>
        <w:rPr>
          <w:rFonts w:ascii="Times New Roman" w:hAnsi="Times New Roman" w:eastAsia="方正小标宋_GBK" w:cs="Times New Roman"/>
          <w:caps/>
          <w:smallCaps w:val="0"/>
        </w:rPr>
        <w:instrText xml:space="preserve"> PAGEREF _Toc72935936 \h </w:instrText>
      </w:r>
      <w:r>
        <w:rPr>
          <w:rFonts w:ascii="Times New Roman" w:hAnsi="Times New Roman" w:eastAsia="方正小标宋_GBK" w:cs="Times New Roman"/>
          <w:caps/>
          <w:smallCaps w:val="0"/>
        </w:rPr>
        <w:fldChar w:fldCharType="separate"/>
      </w:r>
      <w:r>
        <w:rPr>
          <w:rFonts w:ascii="Times New Roman" w:hAnsi="Times New Roman" w:eastAsia="方正小标宋_GBK" w:cs="Times New Roman"/>
          <w:caps/>
          <w:smallCaps w:val="0"/>
        </w:rPr>
        <w:t>3</w:t>
      </w:r>
      <w:r>
        <w:rPr>
          <w:rFonts w:ascii="Times New Roman" w:hAnsi="Times New Roman" w:eastAsia="方正小标宋_GBK" w:cs="Times New Roman"/>
          <w:caps/>
          <w:smallCaps w:val="0"/>
        </w:rPr>
        <w:fldChar w:fldCharType="end"/>
      </w:r>
      <w:r>
        <w:rPr>
          <w:rFonts w:ascii="Times New Roman" w:hAnsi="Times New Roman" w:eastAsia="方正小标宋_GBK" w:cs="Times New Roman"/>
          <w:caps/>
          <w:smallCaps w:val="0"/>
        </w:rPr>
        <w:fldChar w:fldCharType="end"/>
      </w:r>
    </w:p>
    <w:p>
      <w:pPr>
        <w:spacing w:line="560" w:lineRule="exact"/>
        <w:jc w:val="center"/>
        <w:rPr>
          <w:rFonts w:ascii="仿宋_GB2312"/>
          <w:color w:val="000000"/>
          <w:sz w:val="24"/>
        </w:rPr>
        <w:sectPr>
          <w:footerReference r:id="rId10" w:type="default"/>
          <w:pgSz w:w="11906" w:h="16838"/>
          <w:pgMar w:top="2098" w:right="1134" w:bottom="1984" w:left="1531" w:header="851" w:footer="992" w:gutter="0"/>
          <w:pgNumType w:start="1"/>
          <w:cols w:space="720" w:num="1"/>
          <w:docGrid w:type="lines" w:linePitch="435" w:charSpace="0"/>
        </w:sectPr>
      </w:pPr>
      <w:r>
        <w:rPr>
          <w:rFonts w:ascii="方正小标宋简体" w:eastAsia="方正小标宋简体" w:cs="方正小标宋简体"/>
          <w:b/>
          <w:bCs/>
          <w:color w:val="000000"/>
          <w:sz w:val="36"/>
          <w:szCs w:val="36"/>
        </w:rPr>
        <w:fldChar w:fldCharType="end"/>
      </w:r>
    </w:p>
    <w:p>
      <w:pPr>
        <w:jc w:val="center"/>
        <w:rPr>
          <w:rFonts w:ascii="方正小标宋简体" w:eastAsia="方正小标宋简体" w:cs="方正小标宋简体"/>
          <w:sz w:val="49"/>
          <w:szCs w:val="49"/>
        </w:rPr>
      </w:pPr>
    </w:p>
    <w:p>
      <w:pPr>
        <w:spacing w:line="800" w:lineRule="exact"/>
        <w:jc w:val="center"/>
        <w:rPr>
          <w:rFonts w:ascii="方正小标宋简体" w:eastAsia="方正小标宋简体" w:cs="方正小标宋简体"/>
          <w:spacing w:val="20"/>
          <w:sz w:val="49"/>
          <w:szCs w:val="49"/>
        </w:rPr>
      </w:pPr>
      <w:r>
        <w:rPr>
          <w:rFonts w:hint="eastAsia" w:ascii="方正小标宋简体" w:eastAsia="方正小标宋简体" w:cs="方正小标宋简体"/>
          <w:spacing w:val="20"/>
          <w:sz w:val="49"/>
          <w:szCs w:val="49"/>
        </w:rPr>
        <w:t>休宁县国民经济和社会发展第十四个</w:t>
      </w:r>
    </w:p>
    <w:p>
      <w:pPr>
        <w:spacing w:line="800" w:lineRule="exact"/>
        <w:jc w:val="center"/>
        <w:rPr>
          <w:rFonts w:ascii="方正小标宋简体" w:eastAsia="方正小标宋简体"/>
          <w:sz w:val="49"/>
          <w:szCs w:val="49"/>
        </w:rPr>
      </w:pPr>
      <w:r>
        <w:rPr>
          <w:rFonts w:hint="eastAsia" w:ascii="方正小标宋简体" w:eastAsia="方正小标宋简体" w:cs="方正小标宋简体"/>
          <w:sz w:val="49"/>
          <w:szCs w:val="49"/>
        </w:rPr>
        <w:t>五年规划和二</w:t>
      </w:r>
      <w:r>
        <w:rPr>
          <w:rFonts w:hint="eastAsia" w:ascii="宋体" w:hAnsi="宋体" w:cs="宋体"/>
          <w:sz w:val="49"/>
          <w:szCs w:val="49"/>
        </w:rPr>
        <w:t>〇</w:t>
      </w:r>
      <w:r>
        <w:rPr>
          <w:rFonts w:hint="eastAsia" w:ascii="方正小标宋简体" w:hAnsi="方正小标宋简体" w:eastAsia="方正小标宋简体" w:cs="方正小标宋简体"/>
          <w:sz w:val="49"/>
          <w:szCs w:val="49"/>
        </w:rPr>
        <w:t>三五年远景目标纲要</w:t>
      </w:r>
    </w:p>
    <w:p>
      <w:pPr>
        <w:pStyle w:val="22"/>
        <w:spacing w:line="560" w:lineRule="exact"/>
        <w:jc w:val="center"/>
        <w:rPr>
          <w:rFonts w:eastAsia="楷体_GB2312"/>
        </w:rPr>
      </w:pPr>
    </w:p>
    <w:p>
      <w:pPr>
        <w:spacing w:afterLines="100"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十四五”时期是我国全面建成小康社会、实现第一个百年奋斗目标之后，乘势而上开启全面建设社会主义现代化国家新征程、向第二个百年奋斗目标进军的第一个五年。聚焦经济社会发展重点领域，促进休宁总体实力跃升，必须持续不断加强规划引领。规划根据《中共休宁县委关于制定国民经济和社会发展第十四个五年规划和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w:t>
      </w:r>
      <w:r>
        <w:rPr>
          <w:rFonts w:hint="eastAsia" w:ascii="仿宋_GB2312" w:eastAsia="仿宋_GB2312" w:cs="仿宋_GB2312"/>
          <w:color w:val="000000"/>
          <w:sz w:val="32"/>
          <w:szCs w:val="32"/>
        </w:rPr>
        <w:t>的建议》进行科学编制，主要阐明休宁“十四五”时期面临的发展基础、基本形势、总体思路、发展重点和政策取向，明确工作重点，引导市场主体行为，是政府依法履行职责的重要依据，对于全面开启新阶段现代化新休宁建设新征程具有极其重要的理论和现实意义，</w:t>
      </w:r>
      <w:r>
        <w:rPr>
          <w:rFonts w:hint="eastAsia" w:ascii="仿宋_GB2312" w:hAnsi="仿宋_GB2312" w:eastAsia="仿宋_GB2312" w:cs="仿宋_GB2312"/>
          <w:color w:val="000000"/>
          <w:sz w:val="32"/>
          <w:szCs w:val="32"/>
        </w:rPr>
        <w:t>是未来休宁经济社会发展的宏伟蓝图，是休宁人民共同的行动纲领</w:t>
      </w:r>
      <w:r>
        <w:rPr>
          <w:rFonts w:hint="eastAsia" w:ascii="仿宋_GB2312" w:eastAsia="仿宋_GB2312" w:cs="仿宋_GB2312"/>
          <w:color w:val="000000"/>
          <w:sz w:val="32"/>
          <w:szCs w:val="32"/>
          <w:shd w:val="clear" w:color="auto" w:fill="FFFFFF"/>
        </w:rPr>
        <w:t>。</w:t>
      </w:r>
    </w:p>
    <w:p>
      <w:pPr>
        <w:pStyle w:val="2"/>
        <w:spacing w:before="156" w:after="156" w:line="560" w:lineRule="exact"/>
        <w:ind w:left="426" w:hanging="426"/>
        <w:rPr>
          <w:rFonts w:ascii="方正小标宋_GBK" w:eastAsia="方正小标宋_GBK" w:cs="Times New Roman"/>
          <w:color w:val="000000"/>
          <w:sz w:val="36"/>
          <w:szCs w:val="36"/>
        </w:rPr>
      </w:pPr>
      <w:bookmarkStart w:id="1" w:name="_Toc72935876"/>
      <w:bookmarkStart w:id="2" w:name="_Toc46328669"/>
      <w:r>
        <w:rPr>
          <w:rFonts w:hint="eastAsia" w:ascii="方正小标宋_GBK" w:eastAsia="方正小标宋_GBK" w:cs="方正小标宋_GBK"/>
          <w:color w:val="000000"/>
          <w:sz w:val="36"/>
          <w:szCs w:val="36"/>
        </w:rPr>
        <w:t>全面开启新阶段现代化新休宁建设新征程</w:t>
      </w:r>
      <w:bookmarkEnd w:id="1"/>
    </w:p>
    <w:p>
      <w:pPr>
        <w:pStyle w:val="3"/>
        <w:spacing w:before="156" w:after="156" w:line="560" w:lineRule="exact"/>
        <w:ind w:left="427" w:hanging="427" w:hangingChars="133"/>
        <w:rPr>
          <w:rFonts w:ascii="黑体" w:cs="Times New Roman"/>
          <w:color w:val="000000"/>
        </w:rPr>
      </w:pPr>
      <w:bookmarkStart w:id="3" w:name="_Toc72935877"/>
      <w:r>
        <w:rPr>
          <w:rFonts w:hint="eastAsia" w:ascii="黑体" w:hAnsi="黑体" w:cs="黑体"/>
          <w:color w:val="000000"/>
        </w:rPr>
        <w:t>“十三五”发展成就</w:t>
      </w:r>
      <w:bookmarkEnd w:id="3"/>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十三五”时期，全县全面贯彻党的十九大和十九届二中、三中、四中、五中全会精神，以习近平新时代中国特色社会主义思想为指导，围绕全面建成小康社会目标要求，突出“一都一城五化”战略，深入推进“长三角一体化”和“融杭接沪”，积极应对各类风险挑战，高质量实施创新、协调、绿色、开放、共享发展行动，大力推进新型工业化、农业现代化、文旅特色化发展进程，抢抓政策机遇，砥砺前行、开拓创新，经济社会稳步健康发展，产业结构不断完善，城乡协调发展不断增强，基本公共服务能力持续提升，全面提高了人民群众的幸福感、获得感和安全感，休宁经济社会发展取得了显著成效，为“十四五”发展打下坚实基础。</w:t>
      </w:r>
    </w:p>
    <w:p>
      <w:pPr>
        <w:spacing w:line="560" w:lineRule="exact"/>
        <w:ind w:firstLine="642" w:firstLineChars="200"/>
        <w:rPr>
          <w:rFonts w:ascii="仿宋_GB2312" w:eastAsia="仿宋_GB2312"/>
          <w:color w:val="000000"/>
          <w:sz w:val="32"/>
          <w:szCs w:val="32"/>
        </w:rPr>
      </w:pPr>
      <w:bookmarkStart w:id="4" w:name="_Toc55190843"/>
      <w:bookmarkStart w:id="5" w:name="_Toc50363103"/>
      <w:bookmarkStart w:id="6" w:name="_Toc55209009"/>
      <w:bookmarkStart w:id="7" w:name="_Toc56416741"/>
      <w:bookmarkStart w:id="8" w:name="_Toc50363171"/>
      <w:r>
        <w:rPr>
          <w:rFonts w:hint="eastAsia" w:ascii="楷体" w:hAnsi="楷体" w:eastAsia="楷体" w:cs="楷体"/>
          <w:b/>
          <w:bCs/>
          <w:sz w:val="32"/>
          <w:szCs w:val="32"/>
        </w:rPr>
        <w:t>综合实力明显增强</w:t>
      </w:r>
      <w:bookmarkEnd w:id="2"/>
      <w:bookmarkEnd w:id="4"/>
      <w:bookmarkEnd w:id="5"/>
      <w:bookmarkEnd w:id="6"/>
      <w:bookmarkEnd w:id="7"/>
      <w:bookmarkEnd w:id="8"/>
      <w:bookmarkStart w:id="9" w:name="_Toc46328670"/>
      <w:r>
        <w:rPr>
          <w:rFonts w:hint="eastAsia" w:ascii="楷体" w:hAnsi="楷体" w:eastAsia="楷体" w:cs="楷体"/>
          <w:b/>
          <w:bCs/>
          <w:sz w:val="32"/>
          <w:szCs w:val="32"/>
        </w:rPr>
        <w:t>。</w:t>
      </w:r>
      <w:r>
        <w:rPr>
          <w:rFonts w:hint="eastAsia" w:ascii="仿宋_GB2312" w:eastAsia="仿宋_GB2312" w:cs="仿宋_GB2312"/>
          <w:color w:val="000000"/>
          <w:sz w:val="32"/>
          <w:szCs w:val="32"/>
        </w:rPr>
        <w:t>经济运行总体平稳，</w:t>
      </w:r>
      <w:r>
        <w:rPr>
          <w:rFonts w:ascii="仿宋_GB2312" w:eastAsia="仿宋_GB2312" w:cs="仿宋_GB2312"/>
          <w:color w:val="000000"/>
          <w:sz w:val="32"/>
          <w:szCs w:val="32"/>
        </w:rPr>
        <w:t>GDP</w:t>
      </w:r>
      <w:r>
        <w:rPr>
          <w:rFonts w:hint="eastAsia" w:ascii="仿宋_GB2312" w:eastAsia="仿宋_GB2312" w:cs="仿宋_GB2312"/>
          <w:color w:val="000000"/>
          <w:sz w:val="32"/>
          <w:szCs w:val="32"/>
        </w:rPr>
        <w:t>跃上百亿台阶，全县地区生产总值（</w:t>
      </w:r>
      <w:r>
        <w:rPr>
          <w:rFonts w:ascii="仿宋_GB2312" w:eastAsia="仿宋_GB2312" w:cs="仿宋_GB2312"/>
          <w:color w:val="000000"/>
          <w:sz w:val="32"/>
          <w:szCs w:val="32"/>
        </w:rPr>
        <w:t>GDP</w:t>
      </w:r>
      <w:r>
        <w:rPr>
          <w:rFonts w:hint="eastAsia" w:ascii="仿宋_GB2312" w:eastAsia="仿宋_GB2312" w:cs="仿宋_GB2312"/>
          <w:color w:val="000000"/>
          <w:sz w:val="32"/>
          <w:szCs w:val="32"/>
        </w:rPr>
        <w:t>）达到</w:t>
      </w:r>
      <w:r>
        <w:rPr>
          <w:rFonts w:ascii="仿宋_GB2312" w:eastAsia="仿宋_GB2312" w:cs="仿宋_GB2312"/>
          <w:color w:val="000000"/>
          <w:sz w:val="32"/>
          <w:szCs w:val="32"/>
        </w:rPr>
        <w:t>116.32</w:t>
      </w:r>
      <w:r>
        <w:rPr>
          <w:rFonts w:hint="eastAsia" w:ascii="仿宋_GB2312" w:eastAsia="仿宋_GB2312" w:cs="仿宋_GB2312"/>
          <w:color w:val="000000"/>
          <w:sz w:val="32"/>
          <w:szCs w:val="32"/>
        </w:rPr>
        <w:t>亿元，是</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1.6</w:t>
      </w:r>
      <w:r>
        <w:rPr>
          <w:rFonts w:hint="eastAsia" w:ascii="仿宋_GB2312" w:eastAsia="仿宋_GB2312" w:cs="仿宋_GB2312"/>
          <w:color w:val="000000"/>
          <w:sz w:val="32"/>
          <w:szCs w:val="32"/>
        </w:rPr>
        <w:t>倍，年均增长</w:t>
      </w:r>
      <w:r>
        <w:rPr>
          <w:rFonts w:ascii="仿宋_GB2312" w:eastAsia="仿宋_GB2312" w:cs="仿宋_GB2312"/>
          <w:color w:val="000000"/>
          <w:sz w:val="32"/>
          <w:szCs w:val="32"/>
        </w:rPr>
        <w:t>7.0%</w:t>
      </w:r>
      <w:r>
        <w:rPr>
          <w:rFonts w:hint="eastAsia" w:ascii="仿宋_GB2312" w:eastAsia="仿宋_GB2312" w:cs="仿宋_GB2312"/>
          <w:color w:val="000000"/>
          <w:sz w:val="32"/>
          <w:szCs w:val="32"/>
        </w:rPr>
        <w:t>；人均生产总值达到</w:t>
      </w:r>
      <w:r>
        <w:rPr>
          <w:rFonts w:ascii="仿宋_GB2312" w:eastAsia="仿宋_GB2312" w:cs="仿宋_GB2312"/>
          <w:color w:val="000000"/>
          <w:sz w:val="32"/>
          <w:szCs w:val="32"/>
        </w:rPr>
        <w:t>4.3</w:t>
      </w:r>
      <w:r>
        <w:rPr>
          <w:rFonts w:hint="eastAsia" w:ascii="仿宋_GB2312" w:eastAsia="仿宋_GB2312" w:cs="仿宋_GB2312"/>
          <w:color w:val="000000"/>
          <w:sz w:val="32"/>
          <w:szCs w:val="32"/>
        </w:rPr>
        <w:t>万元，是</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1.6</w:t>
      </w:r>
      <w:r>
        <w:rPr>
          <w:rFonts w:hint="eastAsia" w:ascii="仿宋_GB2312" w:eastAsia="仿宋_GB2312" w:cs="仿宋_GB2312"/>
          <w:color w:val="000000"/>
          <w:sz w:val="32"/>
          <w:szCs w:val="32"/>
        </w:rPr>
        <w:t>倍，年均增长</w:t>
      </w:r>
      <w:r>
        <w:rPr>
          <w:rFonts w:ascii="仿宋_GB2312" w:eastAsia="仿宋_GB2312" w:cs="仿宋_GB2312"/>
          <w:color w:val="000000"/>
          <w:sz w:val="32"/>
          <w:szCs w:val="32"/>
        </w:rPr>
        <w:t>10.5%</w:t>
      </w:r>
      <w:bookmarkEnd w:id="9"/>
      <w:r>
        <w:rPr>
          <w:rFonts w:hint="eastAsia" w:ascii="仿宋_GB2312" w:eastAsia="仿宋_GB2312" w:cs="仿宋_GB2312"/>
          <w:color w:val="000000"/>
          <w:sz w:val="32"/>
          <w:szCs w:val="32"/>
        </w:rPr>
        <w:t>；全社会固定资产投资年均增长</w:t>
      </w:r>
      <w:r>
        <w:rPr>
          <w:rFonts w:ascii="仿宋_GB2312" w:eastAsia="仿宋_GB2312" w:cs="仿宋_GB2312"/>
          <w:color w:val="000000"/>
          <w:sz w:val="32"/>
          <w:szCs w:val="32"/>
        </w:rPr>
        <w:t>7.7%</w:t>
      </w:r>
      <w:r>
        <w:rPr>
          <w:rFonts w:hint="eastAsia" w:ascii="仿宋_GB2312" w:eastAsia="仿宋_GB2312" w:cs="仿宋_GB2312"/>
          <w:color w:val="000000"/>
          <w:sz w:val="32"/>
          <w:szCs w:val="32"/>
        </w:rPr>
        <w:t>；社会消费品零售总额达到</w:t>
      </w:r>
      <w:r>
        <w:rPr>
          <w:rFonts w:ascii="仿宋_GB2312" w:eastAsia="仿宋_GB2312" w:cs="仿宋_GB2312"/>
          <w:color w:val="000000"/>
          <w:sz w:val="32"/>
          <w:szCs w:val="32"/>
        </w:rPr>
        <w:t>61.4</w:t>
      </w:r>
      <w:r>
        <w:rPr>
          <w:rFonts w:hint="eastAsia" w:ascii="仿宋_GB2312" w:eastAsia="仿宋_GB2312" w:cs="仿宋_GB2312"/>
          <w:color w:val="000000"/>
          <w:sz w:val="32"/>
          <w:szCs w:val="32"/>
        </w:rPr>
        <w:t>亿元，是</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1.9</w:t>
      </w:r>
      <w:r>
        <w:rPr>
          <w:rFonts w:hint="eastAsia" w:ascii="仿宋_GB2312" w:eastAsia="仿宋_GB2312" w:cs="仿宋_GB2312"/>
          <w:color w:val="000000"/>
          <w:sz w:val="32"/>
          <w:szCs w:val="32"/>
        </w:rPr>
        <w:t>倍，年均增长</w:t>
      </w:r>
      <w:r>
        <w:rPr>
          <w:rFonts w:ascii="仿宋_GB2312" w:eastAsia="仿宋_GB2312" w:cs="仿宋_GB2312"/>
          <w:color w:val="000000"/>
          <w:sz w:val="32"/>
          <w:szCs w:val="32"/>
        </w:rPr>
        <w:t>9.5%</w:t>
      </w:r>
      <w:r>
        <w:rPr>
          <w:rFonts w:hint="eastAsia" w:ascii="仿宋_GB2312" w:eastAsia="仿宋_GB2312" w:cs="仿宋_GB2312"/>
          <w:color w:val="000000"/>
          <w:sz w:val="32"/>
          <w:szCs w:val="32"/>
        </w:rPr>
        <w:t>；一般公共预算收入达到</w:t>
      </w:r>
      <w:r>
        <w:rPr>
          <w:rFonts w:ascii="仿宋_GB2312" w:eastAsia="仿宋_GB2312" w:cs="仿宋_GB2312"/>
          <w:color w:val="000000"/>
          <w:sz w:val="32"/>
          <w:szCs w:val="32"/>
        </w:rPr>
        <w:t>9.4</w:t>
      </w:r>
      <w:r>
        <w:rPr>
          <w:rFonts w:hint="eastAsia" w:ascii="仿宋_GB2312" w:eastAsia="仿宋_GB2312" w:cs="仿宋_GB2312"/>
          <w:color w:val="000000"/>
          <w:sz w:val="32"/>
          <w:szCs w:val="32"/>
        </w:rPr>
        <w:t>亿元（统计地方预算收入），是</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1.3</w:t>
      </w:r>
      <w:r>
        <w:rPr>
          <w:rFonts w:hint="eastAsia" w:ascii="仿宋_GB2312" w:eastAsia="仿宋_GB2312" w:cs="仿宋_GB2312"/>
          <w:color w:val="000000"/>
          <w:sz w:val="32"/>
          <w:szCs w:val="32"/>
        </w:rPr>
        <w:t>倍。国家重大水利工程月潭水库建成蓄水，休宁人民半个多世纪的期盼一朝梦圆。</w:t>
      </w:r>
    </w:p>
    <w:p>
      <w:pPr>
        <w:spacing w:line="560" w:lineRule="exact"/>
        <w:ind w:firstLine="642" w:firstLineChars="200"/>
        <w:rPr>
          <w:rFonts w:ascii="仿宋_GB2312" w:eastAsia="仿宋_GB2312"/>
          <w:color w:val="000000"/>
          <w:sz w:val="30"/>
          <w:szCs w:val="30"/>
        </w:rPr>
      </w:pPr>
      <w:bookmarkStart w:id="10" w:name="_Toc55209010"/>
      <w:bookmarkStart w:id="11" w:name="_Toc56416742"/>
      <w:bookmarkStart w:id="12" w:name="_Toc55190844"/>
      <w:r>
        <w:rPr>
          <w:rFonts w:hint="eastAsia" w:ascii="楷体" w:hAnsi="楷体" w:eastAsia="楷体" w:cs="楷体"/>
          <w:b/>
          <w:bCs/>
          <w:sz w:val="32"/>
          <w:szCs w:val="32"/>
        </w:rPr>
        <w:t>产业结构</w:t>
      </w:r>
      <w:bookmarkEnd w:id="10"/>
      <w:bookmarkEnd w:id="11"/>
      <w:bookmarkEnd w:id="12"/>
      <w:r>
        <w:rPr>
          <w:rFonts w:hint="eastAsia" w:ascii="楷体" w:hAnsi="楷体" w:eastAsia="楷体" w:cs="楷体"/>
          <w:b/>
          <w:bCs/>
          <w:sz w:val="32"/>
          <w:szCs w:val="32"/>
        </w:rPr>
        <w:t>加速调整。</w:t>
      </w:r>
      <w:r>
        <w:rPr>
          <w:rFonts w:hint="eastAsia" w:ascii="仿宋_GB2312" w:eastAsia="仿宋_GB2312" w:cs="仿宋_GB2312"/>
          <w:color w:val="000000"/>
          <w:sz w:val="32"/>
          <w:szCs w:val="32"/>
        </w:rPr>
        <w:t>三次产业结构由</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16.7:42.0:41.3</w:t>
      </w:r>
      <w:r>
        <w:rPr>
          <w:rFonts w:hint="eastAsia" w:ascii="仿宋_GB2312" w:eastAsia="仿宋_GB2312" w:cs="仿宋_GB2312"/>
          <w:color w:val="000000"/>
          <w:sz w:val="32"/>
          <w:szCs w:val="32"/>
        </w:rPr>
        <w:t>调整为</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年的</w:t>
      </w:r>
      <w:r>
        <w:rPr>
          <w:rFonts w:ascii="仿宋_GB2312" w:eastAsia="仿宋_GB2312" w:cs="仿宋_GB2312"/>
          <w:color w:val="000000"/>
          <w:sz w:val="32"/>
          <w:szCs w:val="32"/>
        </w:rPr>
        <w:t>13.0</w:t>
      </w:r>
      <w:r>
        <w:rPr>
          <w:rFonts w:hint="eastAsia" w:ascii="仿宋_GB2312" w:eastAsia="仿宋_GB2312" w:cs="仿宋_GB2312"/>
          <w:color w:val="000000"/>
          <w:sz w:val="32"/>
          <w:szCs w:val="32"/>
        </w:rPr>
        <w:t>：</w:t>
      </w:r>
      <w:r>
        <w:rPr>
          <w:rFonts w:ascii="仿宋_GB2312" w:eastAsia="仿宋_GB2312" w:cs="仿宋_GB2312"/>
          <w:color w:val="000000"/>
          <w:sz w:val="32"/>
          <w:szCs w:val="32"/>
        </w:rPr>
        <w:t>39.5</w:t>
      </w:r>
      <w:r>
        <w:rPr>
          <w:rFonts w:hint="eastAsia" w:ascii="仿宋_GB2312" w:eastAsia="仿宋_GB2312" w:cs="仿宋_GB2312"/>
          <w:color w:val="000000"/>
          <w:sz w:val="32"/>
          <w:szCs w:val="32"/>
        </w:rPr>
        <w:t>：</w:t>
      </w:r>
      <w:r>
        <w:rPr>
          <w:rFonts w:ascii="仿宋_GB2312" w:eastAsia="仿宋_GB2312" w:cs="仿宋_GB2312"/>
          <w:color w:val="000000"/>
          <w:sz w:val="32"/>
          <w:szCs w:val="32"/>
        </w:rPr>
        <w:t>47.5</w:t>
      </w:r>
      <w:r>
        <w:rPr>
          <w:rFonts w:hint="eastAsia" w:ascii="仿宋_GB2312" w:eastAsia="仿宋_GB2312" w:cs="仿宋_GB2312"/>
          <w:color w:val="000000"/>
          <w:sz w:val="32"/>
          <w:szCs w:val="32"/>
        </w:rPr>
        <w:t>。农业产业化、现代化、特色化水平不断提高，成功入围国家农业绿色发展先行区，新增绿色高效特色产业基地</w:t>
      </w:r>
      <w:r>
        <w:rPr>
          <w:rFonts w:ascii="仿宋_GB2312" w:eastAsia="仿宋_GB2312" w:cs="仿宋_GB2312"/>
          <w:color w:val="000000"/>
          <w:sz w:val="32"/>
          <w:szCs w:val="32"/>
        </w:rPr>
        <w:t>5.1</w:t>
      </w:r>
      <w:r>
        <w:rPr>
          <w:rFonts w:hint="eastAsia" w:ascii="仿宋_GB2312" w:eastAsia="仿宋_GB2312" w:cs="仿宋_GB2312"/>
          <w:color w:val="000000"/>
          <w:sz w:val="32"/>
          <w:szCs w:val="32"/>
        </w:rPr>
        <w:t>万亩，规上农产品加工企业</w:t>
      </w:r>
      <w:r>
        <w:rPr>
          <w:rFonts w:ascii="仿宋_GB2312" w:eastAsia="仿宋_GB2312" w:cs="仿宋_GB2312"/>
          <w:color w:val="000000"/>
          <w:sz w:val="32"/>
          <w:szCs w:val="32"/>
        </w:rPr>
        <w:t>36</w:t>
      </w:r>
      <w:r>
        <w:rPr>
          <w:rFonts w:hint="eastAsia" w:ascii="仿宋_GB2312" w:eastAsia="仿宋_GB2312" w:cs="仿宋_GB2312"/>
          <w:color w:val="000000"/>
          <w:sz w:val="32"/>
          <w:szCs w:val="32"/>
        </w:rPr>
        <w:t>家，新认定“三品一标”产品</w:t>
      </w:r>
      <w:r>
        <w:rPr>
          <w:rFonts w:ascii="仿宋_GB2312" w:eastAsia="仿宋_GB2312" w:cs="仿宋_GB2312"/>
          <w:color w:val="000000"/>
          <w:sz w:val="32"/>
          <w:szCs w:val="32"/>
        </w:rPr>
        <w:t>57</w:t>
      </w:r>
      <w:r>
        <w:rPr>
          <w:rFonts w:hint="eastAsia" w:ascii="仿宋_GB2312" w:eastAsia="仿宋_GB2312" w:cs="仿宋_GB2312"/>
          <w:color w:val="000000"/>
          <w:sz w:val="32"/>
          <w:szCs w:val="32"/>
        </w:rPr>
        <w:t>个，“两茶一花一鱼”综合产值达</w:t>
      </w:r>
      <w:r>
        <w:rPr>
          <w:rFonts w:ascii="仿宋_GB2312" w:eastAsia="仿宋_GB2312" w:cs="仿宋_GB2312"/>
          <w:color w:val="000000"/>
          <w:sz w:val="32"/>
          <w:szCs w:val="32"/>
        </w:rPr>
        <w:t>41.8</w:t>
      </w:r>
      <w:r>
        <w:rPr>
          <w:rFonts w:hint="eastAsia" w:ascii="仿宋_GB2312" w:eastAsia="仿宋_GB2312" w:cs="仿宋_GB2312"/>
          <w:color w:val="000000"/>
          <w:sz w:val="32"/>
          <w:szCs w:val="32"/>
        </w:rPr>
        <w:t>亿元，被评为“全国茶产业百强县”“中国山泉流水养鱼第一县”，茶叶出口基地被评为国家外贸转型升级示范基地。新型工业化加速推进，休宁经济开发区成功跻身“省级队”行列，电子信息、汽车配件、绿色有机食品加工三大主导产业年综合产值达</w:t>
      </w:r>
      <w:r>
        <w:rPr>
          <w:rFonts w:ascii="仿宋_GB2312" w:eastAsia="仿宋_GB2312" w:cs="仿宋_GB2312"/>
          <w:color w:val="000000"/>
          <w:sz w:val="32"/>
          <w:szCs w:val="32"/>
        </w:rPr>
        <w:t>34.8</w:t>
      </w:r>
      <w:r>
        <w:rPr>
          <w:rFonts w:hint="eastAsia" w:ascii="仿宋_GB2312" w:eastAsia="仿宋_GB2312" w:cs="仿宋_GB2312"/>
          <w:color w:val="000000"/>
          <w:sz w:val="32"/>
          <w:szCs w:val="32"/>
        </w:rPr>
        <w:t>亿元，规模以上工业增加值、战略性新兴产业产值、高新技术产业产值年均分别增长</w:t>
      </w:r>
      <w:r>
        <w:rPr>
          <w:rFonts w:ascii="仿宋_GB2312" w:eastAsia="仿宋_GB2312" w:cs="仿宋_GB2312"/>
          <w:color w:val="000000"/>
          <w:sz w:val="32"/>
          <w:szCs w:val="32"/>
        </w:rPr>
        <w:t>8.5%</w:t>
      </w:r>
      <w:r>
        <w:rPr>
          <w:rFonts w:hint="eastAsia" w:ascii="仿宋_GB2312" w:eastAsia="仿宋_GB2312" w:cs="仿宋_GB2312"/>
          <w:color w:val="000000"/>
          <w:sz w:val="32"/>
          <w:szCs w:val="32"/>
        </w:rPr>
        <w:t>、</w:t>
      </w:r>
      <w:r>
        <w:rPr>
          <w:rFonts w:ascii="仿宋_GB2312" w:eastAsia="仿宋_GB2312" w:cs="仿宋_GB2312"/>
          <w:color w:val="000000"/>
          <w:sz w:val="32"/>
          <w:szCs w:val="32"/>
        </w:rPr>
        <w:t>21.8%</w:t>
      </w:r>
      <w:r>
        <w:rPr>
          <w:rFonts w:hint="eastAsia" w:ascii="仿宋_GB2312" w:eastAsia="仿宋_GB2312" w:cs="仿宋_GB2312"/>
          <w:color w:val="000000"/>
          <w:sz w:val="32"/>
          <w:szCs w:val="32"/>
        </w:rPr>
        <w:t>、</w:t>
      </w:r>
      <w:r>
        <w:rPr>
          <w:rFonts w:ascii="仿宋_GB2312" w:eastAsia="仿宋_GB2312" w:cs="仿宋_GB2312"/>
          <w:color w:val="000000"/>
          <w:sz w:val="32"/>
          <w:szCs w:val="32"/>
        </w:rPr>
        <w:t>17.0%</w:t>
      </w:r>
      <w:r>
        <w:rPr>
          <w:rFonts w:hint="eastAsia" w:ascii="仿宋_GB2312" w:eastAsia="仿宋_GB2312" w:cs="仿宋_GB2312"/>
          <w:color w:val="000000"/>
          <w:sz w:val="32"/>
          <w:szCs w:val="32"/>
        </w:rPr>
        <w:t>，省级“专精特新”企业达</w:t>
      </w:r>
      <w:r>
        <w:rPr>
          <w:rFonts w:ascii="仿宋_GB2312" w:eastAsia="仿宋_GB2312" w:cs="仿宋_GB2312"/>
          <w:color w:val="000000"/>
          <w:sz w:val="32"/>
          <w:szCs w:val="32"/>
        </w:rPr>
        <w:t>9</w:t>
      </w:r>
      <w:r>
        <w:rPr>
          <w:rFonts w:hint="eastAsia" w:ascii="仿宋_GB2312" w:eastAsia="仿宋_GB2312" w:cs="仿宋_GB2312"/>
          <w:color w:val="000000"/>
          <w:sz w:val="32"/>
          <w:szCs w:val="32"/>
        </w:rPr>
        <w:t>家，规上工业企业达</w:t>
      </w:r>
      <w:r>
        <w:rPr>
          <w:rFonts w:ascii="仿宋_GB2312" w:eastAsia="仿宋_GB2312" w:cs="仿宋_GB2312"/>
          <w:color w:val="000000"/>
          <w:sz w:val="32"/>
          <w:szCs w:val="32"/>
        </w:rPr>
        <w:t>68</w:t>
      </w:r>
      <w:r>
        <w:rPr>
          <w:rFonts w:hint="eastAsia" w:ascii="仿宋_GB2312" w:eastAsia="仿宋_GB2312" w:cs="仿宋_GB2312"/>
          <w:color w:val="000000"/>
          <w:sz w:val="32"/>
          <w:szCs w:val="32"/>
        </w:rPr>
        <w:t>家。现代服务业品质持续提升，万安古镇现代服务业集聚区基本建成，齐云山服务业集聚区升级为省级示范园区，服务业增加值达到</w:t>
      </w:r>
      <w:r>
        <w:rPr>
          <w:rFonts w:ascii="仿宋_GB2312" w:eastAsia="仿宋_GB2312" w:cs="仿宋_GB2312"/>
          <w:color w:val="000000"/>
          <w:sz w:val="32"/>
          <w:szCs w:val="32"/>
        </w:rPr>
        <w:t>55.3</w:t>
      </w:r>
      <w:r>
        <w:rPr>
          <w:rFonts w:hint="eastAsia" w:ascii="仿宋_GB2312" w:eastAsia="仿宋_GB2312" w:cs="仿宋_GB2312"/>
          <w:color w:val="000000"/>
          <w:sz w:val="32"/>
          <w:szCs w:val="32"/>
        </w:rPr>
        <w:t>亿元，年均增长</w:t>
      </w:r>
      <w:r>
        <w:rPr>
          <w:rFonts w:ascii="仿宋_GB2312" w:eastAsia="仿宋_GB2312" w:cs="仿宋_GB2312"/>
          <w:color w:val="000000"/>
          <w:sz w:val="32"/>
          <w:szCs w:val="32"/>
        </w:rPr>
        <w:t>7.0%</w:t>
      </w:r>
      <w:r>
        <w:rPr>
          <w:rFonts w:hint="eastAsia" w:ascii="仿宋_GB2312" w:eastAsia="仿宋_GB2312" w:cs="仿宋_GB2312"/>
          <w:color w:val="000000"/>
          <w:sz w:val="32"/>
          <w:szCs w:val="32"/>
        </w:rPr>
        <w:t>。深入推进“旅游</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r>
        <w:rPr>
          <w:rFonts w:ascii="仿宋_GB2312" w:eastAsia="仿宋_GB2312" w:cs="仿宋_GB2312"/>
          <w:color w:val="000000"/>
          <w:sz w:val="32"/>
          <w:szCs w:val="32"/>
        </w:rPr>
        <w:t>2016-2019</w:t>
      </w:r>
      <w:r>
        <w:rPr>
          <w:rFonts w:hint="eastAsia" w:ascii="仿宋_GB2312" w:eastAsia="仿宋_GB2312" w:cs="仿宋_GB2312"/>
          <w:color w:val="000000"/>
          <w:sz w:val="32"/>
          <w:szCs w:val="32"/>
        </w:rPr>
        <w:t>年全县接待游客、旅游总收入年均增长分别为</w:t>
      </w:r>
      <w:r>
        <w:rPr>
          <w:rFonts w:ascii="仿宋_GB2312" w:eastAsia="仿宋_GB2312" w:cs="仿宋_GB2312"/>
          <w:color w:val="000000"/>
          <w:sz w:val="32"/>
          <w:szCs w:val="32"/>
        </w:rPr>
        <w:t>13.0%</w:t>
      </w:r>
      <w:r>
        <w:rPr>
          <w:rFonts w:hint="eastAsia" w:ascii="仿宋_GB2312" w:eastAsia="仿宋_GB2312" w:cs="仿宋_GB2312"/>
          <w:color w:val="000000"/>
          <w:sz w:val="32"/>
          <w:szCs w:val="32"/>
        </w:rPr>
        <w:t>、</w:t>
      </w:r>
      <w:r>
        <w:rPr>
          <w:rFonts w:ascii="仿宋_GB2312" w:eastAsia="仿宋_GB2312" w:cs="仿宋_GB2312"/>
          <w:color w:val="000000"/>
          <w:sz w:val="32"/>
          <w:szCs w:val="32"/>
        </w:rPr>
        <w:t>13.8%</w:t>
      </w:r>
      <w:r>
        <w:rPr>
          <w:rFonts w:hint="eastAsia" w:ascii="仿宋_GB2312" w:eastAsia="仿宋_GB2312" w:cs="仿宋_GB2312"/>
          <w:color w:val="000000"/>
          <w:sz w:val="32"/>
          <w:szCs w:val="32"/>
        </w:rPr>
        <w:t>，摘得全国休闲农业和乡村旅游示范县桂冠。</w:t>
      </w:r>
    </w:p>
    <w:p>
      <w:pPr>
        <w:spacing w:line="560" w:lineRule="exact"/>
        <w:ind w:firstLine="642" w:firstLineChars="200"/>
        <w:rPr>
          <w:rFonts w:ascii="仿宋_GB2312" w:eastAsia="仿宋_GB2312"/>
          <w:color w:val="000000"/>
          <w:sz w:val="32"/>
          <w:szCs w:val="32"/>
        </w:rPr>
      </w:pPr>
      <w:bookmarkStart w:id="13" w:name="_Toc55190845"/>
      <w:bookmarkStart w:id="14" w:name="_Toc56416743"/>
      <w:bookmarkStart w:id="15" w:name="_Toc55209011"/>
      <w:r>
        <w:rPr>
          <w:rFonts w:hint="eastAsia" w:ascii="楷体" w:hAnsi="楷体" w:eastAsia="楷体" w:cs="楷体"/>
          <w:b/>
          <w:bCs/>
          <w:sz w:val="32"/>
          <w:szCs w:val="32"/>
        </w:rPr>
        <w:t>城乡面貌焕然一新</w:t>
      </w:r>
      <w:bookmarkEnd w:id="13"/>
      <w:bookmarkEnd w:id="14"/>
      <w:bookmarkEnd w:id="15"/>
      <w:r>
        <w:rPr>
          <w:rFonts w:hint="eastAsia" w:ascii="楷体" w:hAnsi="楷体" w:eastAsia="楷体" w:cs="楷体"/>
          <w:b/>
          <w:bCs/>
          <w:sz w:val="32"/>
          <w:szCs w:val="32"/>
        </w:rPr>
        <w:t>。</w:t>
      </w:r>
      <w:r>
        <w:rPr>
          <w:rFonts w:hint="eastAsia" w:ascii="仿宋_GB2312" w:eastAsia="仿宋_GB2312" w:cs="仿宋_GB2312"/>
          <w:color w:val="000000"/>
          <w:sz w:val="32"/>
          <w:szCs w:val="32"/>
        </w:rPr>
        <w:t>大力推进“城市双修”“两治三改”工作，“一环四区”的县城架构、“六纵六横”城市道路框架基本形成，县城建成区</w:t>
      </w:r>
      <w:r>
        <w:rPr>
          <w:rFonts w:ascii="仿宋_GB2312" w:eastAsia="仿宋_GB2312" w:cs="仿宋_GB2312"/>
          <w:color w:val="000000"/>
          <w:sz w:val="32"/>
          <w:szCs w:val="32"/>
        </w:rPr>
        <w:t>10</w:t>
      </w:r>
      <w:r>
        <w:rPr>
          <w:rFonts w:hint="eastAsia" w:ascii="仿宋_GB2312" w:eastAsia="仿宋_GB2312" w:cs="仿宋_GB2312"/>
          <w:color w:val="000000"/>
          <w:sz w:val="32"/>
          <w:szCs w:val="32"/>
        </w:rPr>
        <w:t>平方公里建设目标基本实现，城镇化率达到</w:t>
      </w:r>
      <w:r>
        <w:rPr>
          <w:rFonts w:ascii="仿宋_GB2312" w:eastAsia="仿宋_GB2312" w:cs="仿宋_GB2312"/>
          <w:color w:val="000000"/>
          <w:sz w:val="32"/>
          <w:szCs w:val="32"/>
        </w:rPr>
        <w:t>49.8%</w:t>
      </w:r>
      <w:r>
        <w:rPr>
          <w:rFonts w:hint="eastAsia" w:ascii="仿宋_GB2312" w:eastAsia="仿宋_GB2312" w:cs="仿宋_GB2312"/>
          <w:color w:val="000000"/>
          <w:sz w:val="32"/>
          <w:szCs w:val="32"/>
        </w:rPr>
        <w:t>，获评全省文明示范县，荣登“中国最美县域榜单”。交通路网不断完善，国省干线提质升级，“四好农村路”扩面延伸。集镇建设有序推进，齐云旅游小镇入选中国特色小镇</w:t>
      </w:r>
      <w:r>
        <w:rPr>
          <w:rFonts w:ascii="仿宋_GB2312" w:eastAsia="仿宋_GB2312" w:cs="仿宋_GB2312"/>
          <w:color w:val="000000"/>
          <w:sz w:val="32"/>
          <w:szCs w:val="32"/>
        </w:rPr>
        <w:t>50</w:t>
      </w:r>
      <w:r>
        <w:rPr>
          <w:rFonts w:hint="eastAsia" w:ascii="仿宋_GB2312" w:eastAsia="仿宋_GB2312" w:cs="仿宋_GB2312"/>
          <w:color w:val="000000"/>
          <w:sz w:val="32"/>
          <w:szCs w:val="32"/>
        </w:rPr>
        <w:t>强、首批省级健康小镇，蓝田镇荣获全国文明村镇，溪口镇入选全国重点镇。美丽乡村建设持续推进，农村生活垃圾无害化处理率实现</w:t>
      </w:r>
      <w:r>
        <w:rPr>
          <w:rFonts w:ascii="仿宋_GB2312" w:eastAsia="仿宋_GB2312" w:cs="仿宋_GB2312"/>
          <w:color w:val="000000"/>
          <w:sz w:val="32"/>
          <w:szCs w:val="32"/>
        </w:rPr>
        <w:t>100%</w:t>
      </w:r>
      <w:r>
        <w:rPr>
          <w:rFonts w:hint="eastAsia" w:ascii="仿宋_GB2312" w:eastAsia="仿宋_GB2312" w:cs="仿宋_GB2312"/>
          <w:color w:val="000000"/>
          <w:sz w:val="32"/>
          <w:szCs w:val="32"/>
        </w:rPr>
        <w:t>，生活污水处理实现乡镇政府驻地、美丽乡村中心村全覆盖，卫生厕所普及率达</w:t>
      </w:r>
      <w:r>
        <w:rPr>
          <w:rFonts w:ascii="仿宋_GB2312" w:eastAsia="仿宋_GB2312" w:cs="仿宋_GB2312"/>
          <w:color w:val="000000"/>
          <w:sz w:val="32"/>
          <w:szCs w:val="32"/>
        </w:rPr>
        <w:t>85%</w:t>
      </w:r>
      <w:r>
        <w:rPr>
          <w:rFonts w:hint="eastAsia" w:ascii="仿宋_GB2312" w:eastAsia="仿宋_GB2312" w:cs="仿宋_GB2312"/>
          <w:color w:val="000000"/>
          <w:sz w:val="32"/>
          <w:szCs w:val="32"/>
        </w:rPr>
        <w:t>，完成</w:t>
      </w:r>
      <w:r>
        <w:rPr>
          <w:rFonts w:ascii="仿宋_GB2312" w:eastAsia="仿宋_GB2312" w:cs="仿宋_GB2312"/>
          <w:color w:val="000000"/>
          <w:sz w:val="32"/>
          <w:szCs w:val="32"/>
        </w:rPr>
        <w:t>329</w:t>
      </w:r>
      <w:r>
        <w:rPr>
          <w:rFonts w:hint="eastAsia" w:ascii="仿宋_GB2312" w:eastAsia="仿宋_GB2312" w:cs="仿宋_GB2312"/>
          <w:color w:val="000000"/>
          <w:sz w:val="32"/>
          <w:szCs w:val="32"/>
        </w:rPr>
        <w:t>个自然村整治，获评全省美丽乡村建设先进县。</w:t>
      </w:r>
    </w:p>
    <w:p>
      <w:pPr>
        <w:spacing w:line="560" w:lineRule="exact"/>
        <w:ind w:firstLine="642" w:firstLineChars="200"/>
        <w:rPr>
          <w:rFonts w:ascii="仿宋_GB2312" w:eastAsia="仿宋_GB2312"/>
          <w:color w:val="000000"/>
          <w:sz w:val="30"/>
          <w:szCs w:val="30"/>
        </w:rPr>
      </w:pPr>
      <w:bookmarkStart w:id="16" w:name="_Toc55190846"/>
      <w:bookmarkStart w:id="17" w:name="_Toc55209012"/>
      <w:bookmarkStart w:id="18" w:name="_Toc56416744"/>
      <w:r>
        <w:rPr>
          <w:rFonts w:hint="eastAsia" w:ascii="楷体" w:hAnsi="楷体" w:eastAsia="楷体" w:cs="楷体"/>
          <w:b/>
          <w:bCs/>
          <w:sz w:val="32"/>
          <w:szCs w:val="32"/>
        </w:rPr>
        <w:t>生态环境持续优化</w:t>
      </w:r>
      <w:bookmarkEnd w:id="16"/>
      <w:bookmarkEnd w:id="17"/>
      <w:bookmarkEnd w:id="18"/>
      <w:r>
        <w:rPr>
          <w:rFonts w:hint="eastAsia" w:ascii="楷体" w:hAnsi="楷体" w:eastAsia="楷体" w:cs="楷体"/>
          <w:b/>
          <w:bCs/>
          <w:sz w:val="32"/>
          <w:szCs w:val="32"/>
        </w:rPr>
        <w:t>。</w:t>
      </w:r>
      <w:r>
        <w:rPr>
          <w:rFonts w:hint="eastAsia" w:ascii="仿宋_GB2312" w:eastAsia="仿宋_GB2312" w:cs="仿宋_GB2312"/>
          <w:color w:val="000000"/>
          <w:sz w:val="32"/>
          <w:szCs w:val="32"/>
        </w:rPr>
        <w:t>深入开展生态文明建设“六大行动”，地表水、饮用水水源地水质达标率常年保持</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。全县水质监测断面达标率为</w:t>
      </w:r>
      <w:r>
        <w:rPr>
          <w:rFonts w:ascii="仿宋_GB2312" w:eastAsia="仿宋_GB2312" w:cs="仿宋_GB2312"/>
          <w:color w:val="000000"/>
          <w:sz w:val="32"/>
          <w:szCs w:val="32"/>
        </w:rPr>
        <w:t>100%</w:t>
      </w:r>
      <w:r>
        <w:rPr>
          <w:rFonts w:hint="eastAsia" w:ascii="仿宋_GB2312" w:eastAsia="仿宋_GB2312" w:cs="仿宋_GB2312"/>
          <w:color w:val="000000"/>
          <w:sz w:val="32"/>
          <w:szCs w:val="32"/>
        </w:rPr>
        <w:t>，空气质量稳居全省前列，空气优良天数比例年均达</w:t>
      </w:r>
      <w:r>
        <w:rPr>
          <w:rFonts w:ascii="仿宋_GB2312" w:eastAsia="仿宋_GB2312" w:cs="仿宋_GB2312"/>
          <w:color w:val="000000"/>
          <w:sz w:val="32"/>
          <w:szCs w:val="32"/>
        </w:rPr>
        <w:t>90%</w:t>
      </w:r>
      <w:r>
        <w:rPr>
          <w:rFonts w:hint="eastAsia" w:ascii="仿宋_GB2312" w:eastAsia="仿宋_GB2312" w:cs="仿宋_GB2312"/>
          <w:color w:val="000000"/>
          <w:sz w:val="32"/>
          <w:szCs w:val="32"/>
        </w:rPr>
        <w:t>以上。新安江流域生态补偿机制试点工作成效显著，积极探索“生态美超市”“生态美红包”“一献四捐”等生态文明建设“微改革”，“生态美超市”发展到</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家，流口村“生态美超市”项目荣获国家八部委共同评选的第九届“母亲河奖”。创新林长河长一体化管理机制，开展松材线虫病防治专项行动，实施林业增绿增效行动，累计造林</w:t>
      </w:r>
      <w:r>
        <w:rPr>
          <w:rFonts w:ascii="仿宋_GB2312" w:eastAsia="仿宋_GB2312" w:cs="仿宋_GB2312"/>
          <w:color w:val="000000"/>
          <w:sz w:val="32"/>
          <w:szCs w:val="32"/>
        </w:rPr>
        <w:t>5.5</w:t>
      </w:r>
      <w:r>
        <w:rPr>
          <w:rFonts w:hint="eastAsia" w:ascii="仿宋_GB2312" w:eastAsia="仿宋_GB2312" w:cs="仿宋_GB2312"/>
          <w:color w:val="000000"/>
          <w:sz w:val="32"/>
          <w:szCs w:val="32"/>
        </w:rPr>
        <w:t>万亩，森林覆盖率达到</w:t>
      </w:r>
      <w:r>
        <w:rPr>
          <w:rFonts w:ascii="仿宋_GB2312" w:eastAsia="仿宋_GB2312" w:cs="仿宋_GB2312"/>
          <w:color w:val="000000"/>
          <w:sz w:val="32"/>
          <w:szCs w:val="32"/>
        </w:rPr>
        <w:t>83.27%</w:t>
      </w:r>
      <w:r>
        <w:rPr>
          <w:rFonts w:hint="eastAsia" w:ascii="仿宋_GB2312" w:eastAsia="仿宋_GB2312" w:cs="仿宋_GB2312"/>
          <w:color w:val="000000"/>
          <w:sz w:val="32"/>
          <w:szCs w:val="32"/>
        </w:rPr>
        <w:t>。生态环境监测网络实现乡镇全覆盖，成功跻身国家重点生态功能区，入选全国生态综合补偿试点县。</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改革开放深入推进。</w:t>
      </w:r>
      <w:r>
        <w:rPr>
          <w:rFonts w:hint="eastAsia" w:ascii="仿宋_GB2312" w:eastAsia="仿宋_GB2312" w:cs="仿宋_GB2312"/>
          <w:color w:val="000000"/>
          <w:sz w:val="32"/>
          <w:szCs w:val="32"/>
        </w:rPr>
        <w:t>全面完成政府系统机构改革任务，顺利完成“五大领域”综合行政执法改革，基本完成乡镇管理体制改革，推进行政执法力量向基层延伸。深化“放管服”改革，全县</w:t>
      </w:r>
      <w:r>
        <w:rPr>
          <w:rFonts w:ascii="仿宋_GB2312" w:eastAsia="仿宋_GB2312" w:cs="仿宋_GB2312"/>
          <w:color w:val="000000"/>
          <w:sz w:val="32"/>
          <w:szCs w:val="32"/>
        </w:rPr>
        <w:t>4989</w:t>
      </w:r>
      <w:r>
        <w:rPr>
          <w:rFonts w:hint="eastAsia" w:ascii="仿宋_GB2312" w:eastAsia="仿宋_GB2312" w:cs="仿宋_GB2312"/>
          <w:color w:val="000000"/>
          <w:sz w:val="32"/>
          <w:szCs w:val="32"/>
        </w:rPr>
        <w:t>项个人事项和</w:t>
      </w:r>
      <w:r>
        <w:rPr>
          <w:rFonts w:ascii="仿宋_GB2312" w:eastAsia="仿宋_GB2312" w:cs="仿宋_GB2312"/>
          <w:color w:val="000000"/>
          <w:sz w:val="32"/>
          <w:szCs w:val="32"/>
        </w:rPr>
        <w:t>505</w:t>
      </w:r>
      <w:r>
        <w:rPr>
          <w:rFonts w:hint="eastAsia" w:ascii="仿宋_GB2312" w:eastAsia="仿宋_GB2312" w:cs="仿宋_GB2312"/>
          <w:color w:val="000000"/>
          <w:sz w:val="32"/>
          <w:szCs w:val="32"/>
        </w:rPr>
        <w:t>项行政许可事项“全程网办”，实现</w:t>
      </w:r>
      <w:r>
        <w:rPr>
          <w:rFonts w:ascii="仿宋_GB2312" w:eastAsia="仿宋_GB2312" w:cs="仿宋_GB2312"/>
          <w:color w:val="000000"/>
          <w:sz w:val="32"/>
          <w:szCs w:val="32"/>
        </w:rPr>
        <w:t>1.34</w:t>
      </w:r>
      <w:r>
        <w:rPr>
          <w:rFonts w:hint="eastAsia" w:ascii="仿宋_GB2312" w:eastAsia="仿宋_GB2312" w:cs="仿宋_GB2312"/>
          <w:color w:val="000000"/>
          <w:sz w:val="32"/>
          <w:szCs w:val="32"/>
        </w:rPr>
        <w:t>万项政务服务事项“最多跑一次”，</w:t>
      </w:r>
      <w:r>
        <w:rPr>
          <w:rFonts w:ascii="仿宋_GB2312" w:eastAsia="仿宋_GB2312" w:cs="仿宋_GB2312"/>
          <w:color w:val="000000"/>
          <w:sz w:val="32"/>
          <w:szCs w:val="32"/>
        </w:rPr>
        <w:t>17</w:t>
      </w:r>
      <w:r>
        <w:rPr>
          <w:rFonts w:hint="eastAsia" w:ascii="仿宋_GB2312" w:eastAsia="仿宋_GB2312" w:cs="仿宋_GB2312"/>
          <w:color w:val="000000"/>
          <w:sz w:val="32"/>
          <w:szCs w:val="32"/>
        </w:rPr>
        <w:t>项法人事项和</w:t>
      </w:r>
      <w:r>
        <w:rPr>
          <w:rFonts w:ascii="仿宋_GB2312" w:eastAsia="仿宋_GB2312" w:cs="仿宋_GB2312"/>
          <w:color w:val="000000"/>
          <w:sz w:val="32"/>
          <w:szCs w:val="32"/>
        </w:rPr>
        <w:t>6</w:t>
      </w:r>
      <w:r>
        <w:rPr>
          <w:rFonts w:hint="eastAsia" w:ascii="仿宋_GB2312" w:eastAsia="仿宋_GB2312" w:cs="仿宋_GB2312"/>
          <w:color w:val="000000"/>
          <w:sz w:val="32"/>
          <w:szCs w:val="32"/>
        </w:rPr>
        <w:t>项个人事项长三角地区“一网通办”，商事制度改革获省政府通报表扬。推动与临安区、开化县、龙港市开展战略合作，成功打造休宁发展大会等开放平台，五年累计外贸进出口总额</w:t>
      </w:r>
      <w:r>
        <w:rPr>
          <w:rFonts w:ascii="仿宋_GB2312" w:eastAsia="仿宋_GB2312" w:cs="仿宋_GB2312"/>
          <w:color w:val="000000"/>
          <w:sz w:val="32"/>
          <w:szCs w:val="32"/>
        </w:rPr>
        <w:t>8.82</w:t>
      </w:r>
      <w:r>
        <w:rPr>
          <w:rFonts w:hint="eastAsia" w:ascii="仿宋_GB2312" w:eastAsia="仿宋_GB2312" w:cs="仿宋_GB2312"/>
          <w:color w:val="000000"/>
          <w:sz w:val="32"/>
          <w:szCs w:val="32"/>
        </w:rPr>
        <w:t>亿美元，年均增长</w:t>
      </w:r>
      <w:r>
        <w:rPr>
          <w:rFonts w:ascii="仿宋_GB2312" w:eastAsia="仿宋_GB2312" w:cs="仿宋_GB2312"/>
          <w:color w:val="000000"/>
          <w:sz w:val="32"/>
          <w:szCs w:val="32"/>
        </w:rPr>
        <w:t>7.7%</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2"/>
          <w:szCs w:val="32"/>
        </w:rPr>
      </w:pPr>
      <w:bookmarkStart w:id="19" w:name="_Toc55209013"/>
      <w:bookmarkStart w:id="20" w:name="_Toc55190847"/>
      <w:bookmarkStart w:id="21" w:name="_Toc56416745"/>
      <w:r>
        <w:rPr>
          <w:rFonts w:hint="eastAsia" w:ascii="楷体" w:hAnsi="楷体" w:eastAsia="楷体" w:cs="楷体"/>
          <w:b/>
          <w:bCs/>
          <w:sz w:val="32"/>
          <w:szCs w:val="32"/>
        </w:rPr>
        <w:t>民生福祉大幅提升</w:t>
      </w:r>
      <w:bookmarkEnd w:id="19"/>
      <w:bookmarkEnd w:id="20"/>
      <w:bookmarkEnd w:id="21"/>
      <w:r>
        <w:rPr>
          <w:rFonts w:hint="eastAsia" w:ascii="楷体" w:hAnsi="楷体" w:eastAsia="楷体" w:cs="楷体"/>
          <w:b/>
          <w:bCs/>
          <w:sz w:val="32"/>
          <w:szCs w:val="32"/>
        </w:rPr>
        <w:t>。</w:t>
      </w:r>
      <w:r>
        <w:rPr>
          <w:rFonts w:hint="eastAsia" w:ascii="仿宋_GB2312" w:eastAsia="仿宋_GB2312" w:cs="仿宋_GB2312"/>
          <w:color w:val="000000"/>
          <w:sz w:val="32"/>
          <w:szCs w:val="32"/>
        </w:rPr>
        <w:t>脱贫攻坚成果备受瞩目，实现全部贫困人口稳定脱贫，</w:t>
      </w:r>
      <w:r>
        <w:rPr>
          <w:rFonts w:ascii="仿宋_GB2312" w:eastAsia="仿宋_GB2312" w:cs="仿宋_GB2312"/>
          <w:color w:val="000000"/>
          <w:sz w:val="32"/>
          <w:szCs w:val="32"/>
        </w:rPr>
        <w:t>33</w:t>
      </w:r>
      <w:r>
        <w:rPr>
          <w:rFonts w:hint="eastAsia" w:ascii="仿宋_GB2312" w:eastAsia="仿宋_GB2312" w:cs="仿宋_GB2312"/>
          <w:color w:val="000000"/>
          <w:sz w:val="32"/>
          <w:szCs w:val="32"/>
        </w:rPr>
        <w:t>个贫困村全部出列，“两不愁三保障一安全”全面实现。人民生活水平显著提高，城镇常住居民人均可支配收入和农村常住居民人均可支配收入年均分别增长</w:t>
      </w:r>
      <w:r>
        <w:rPr>
          <w:rFonts w:ascii="仿宋_GB2312" w:eastAsia="仿宋_GB2312" w:cs="仿宋_GB2312"/>
          <w:color w:val="000000"/>
          <w:sz w:val="32"/>
          <w:szCs w:val="32"/>
        </w:rPr>
        <w:t>7.9%</w:t>
      </w:r>
      <w:r>
        <w:rPr>
          <w:rFonts w:hint="eastAsia" w:ascii="仿宋_GB2312" w:eastAsia="仿宋_GB2312" w:cs="仿宋_GB2312"/>
          <w:color w:val="000000"/>
          <w:sz w:val="32"/>
          <w:szCs w:val="32"/>
        </w:rPr>
        <w:t>、</w:t>
      </w:r>
      <w:r>
        <w:rPr>
          <w:rFonts w:ascii="仿宋_GB2312" w:eastAsia="仿宋_GB2312" w:cs="仿宋_GB2312"/>
          <w:color w:val="000000"/>
          <w:sz w:val="32"/>
          <w:szCs w:val="32"/>
        </w:rPr>
        <w:t>9.2%</w:t>
      </w:r>
      <w:r>
        <w:rPr>
          <w:rFonts w:hint="eastAsia" w:ascii="仿宋_GB2312" w:eastAsia="仿宋_GB2312" w:cs="仿宋_GB2312"/>
          <w:color w:val="000000"/>
          <w:sz w:val="32"/>
          <w:szCs w:val="32"/>
        </w:rPr>
        <w:t>。积极落实就业政策，累计新增就业</w:t>
      </w:r>
      <w:r>
        <w:rPr>
          <w:rFonts w:ascii="仿宋_GB2312" w:eastAsia="仿宋_GB2312" w:cs="仿宋_GB2312"/>
          <w:color w:val="000000"/>
          <w:sz w:val="32"/>
          <w:szCs w:val="32"/>
        </w:rPr>
        <w:t>20787</w:t>
      </w:r>
      <w:r>
        <w:rPr>
          <w:rFonts w:hint="eastAsia" w:ascii="仿宋_GB2312" w:eastAsia="仿宋_GB2312" w:cs="仿宋_GB2312"/>
          <w:color w:val="000000"/>
          <w:sz w:val="32"/>
          <w:szCs w:val="32"/>
        </w:rPr>
        <w:t>人，城镇登记失业率控制在</w:t>
      </w:r>
      <w:r>
        <w:rPr>
          <w:rFonts w:ascii="仿宋_GB2312" w:eastAsia="仿宋_GB2312" w:cs="仿宋_GB2312"/>
          <w:color w:val="000000"/>
          <w:sz w:val="32"/>
          <w:szCs w:val="32"/>
        </w:rPr>
        <w:t>3.6%</w:t>
      </w:r>
      <w:r>
        <w:rPr>
          <w:rFonts w:hint="eastAsia" w:ascii="仿宋_GB2312" w:eastAsia="仿宋_GB2312" w:cs="仿宋_GB2312"/>
          <w:color w:val="000000"/>
          <w:sz w:val="32"/>
          <w:szCs w:val="32"/>
        </w:rPr>
        <w:t>以内。社会保障水平进一步提高，城乡居民基本医保整合全面完成。教育、医疗、文化体育等公共服务体系不断健全，黄山健康职业学院获批成立，县总医院挂牌，县博物馆综合馆、县体育馆建成开放，县图书馆跻身国家一级馆、状元博物馆入选国家二级馆。平安休宁建设深入推进，创新矛盾纠纷预防化解机制，社会治理体系不断完善。开展市域社会治理现代化试点，做好安全生产、食品药品监管、地质灾害防治、应急管理等工作。</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总体上休宁的发展成就令人鼓舞，经济、社会、文化、生态、民生等方面建设实现历史性突破，为“十四五”发展奠定了坚实的基础，开启了现代化新休宁建设新征程。</w:t>
      </w:r>
    </w:p>
    <w:p>
      <w:pPr>
        <w:pStyle w:val="5"/>
        <w:spacing w:line="560" w:lineRule="exact"/>
        <w:jc w:val="center"/>
        <w:rPr>
          <w:rFonts w:ascii="黑体" w:hAnsi="黑体" w:eastAsia="黑体" w:cs="Times New Roman"/>
          <w:color w:val="000000"/>
        </w:rPr>
      </w:pPr>
      <w:r>
        <w:rPr>
          <w:rFonts w:hint="eastAsia" w:ascii="黑体" w:hAnsi="黑体" w:eastAsia="黑体" w:cs="黑体"/>
          <w:color w:val="000000"/>
        </w:rPr>
        <w:t>“十三五”规划主要目标完成情况表</w:t>
      </w:r>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8"/>
        <w:gridCol w:w="1560"/>
        <w:gridCol w:w="1559"/>
        <w:gridCol w:w="139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238" w:type="dxa"/>
            <w:vAlign w:val="center"/>
          </w:tcPr>
          <w:p>
            <w:pPr>
              <w:jc w:val="center"/>
              <w:rPr>
                <w:rFonts w:ascii="黑体" w:hAnsi="黑体" w:eastAsia="黑体"/>
                <w:color w:val="000000"/>
                <w:sz w:val="24"/>
              </w:rPr>
            </w:pPr>
            <w:r>
              <w:rPr>
                <w:rFonts w:hint="eastAsia" w:ascii="黑体" w:hAnsi="黑体" w:eastAsia="黑体" w:cs="黑体"/>
                <w:color w:val="000000"/>
                <w:sz w:val="24"/>
              </w:rPr>
              <w:t>指标</w:t>
            </w:r>
          </w:p>
        </w:tc>
        <w:tc>
          <w:tcPr>
            <w:tcW w:w="1560" w:type="dxa"/>
            <w:vAlign w:val="center"/>
          </w:tcPr>
          <w:p>
            <w:pPr>
              <w:wordWrap w:val="0"/>
              <w:jc w:val="center"/>
              <w:rPr>
                <w:rFonts w:ascii="黑体" w:hAnsi="黑体" w:eastAsia="黑体"/>
                <w:color w:val="000000"/>
                <w:sz w:val="24"/>
              </w:rPr>
            </w:pPr>
            <w:r>
              <w:rPr>
                <w:rFonts w:hint="eastAsia" w:ascii="黑体" w:hAnsi="黑体" w:eastAsia="黑体" w:cs="黑体"/>
                <w:color w:val="000000"/>
                <w:sz w:val="24"/>
              </w:rPr>
              <w:t>“十三五”末绝对值目标</w:t>
            </w:r>
          </w:p>
        </w:tc>
        <w:tc>
          <w:tcPr>
            <w:tcW w:w="1559" w:type="dxa"/>
            <w:vAlign w:val="center"/>
          </w:tcPr>
          <w:p>
            <w:pPr>
              <w:wordWrap w:val="0"/>
              <w:jc w:val="center"/>
              <w:rPr>
                <w:rFonts w:ascii="黑体" w:hAnsi="黑体" w:eastAsia="黑体"/>
                <w:color w:val="000000"/>
                <w:sz w:val="24"/>
              </w:rPr>
            </w:pPr>
            <w:r>
              <w:rPr>
                <w:rFonts w:hint="eastAsia" w:ascii="黑体" w:hAnsi="黑体" w:eastAsia="黑体" w:cs="黑体"/>
                <w:color w:val="000000"/>
                <w:sz w:val="24"/>
              </w:rPr>
              <w:t>“十三五”年均增长目标</w:t>
            </w:r>
          </w:p>
        </w:tc>
        <w:tc>
          <w:tcPr>
            <w:tcW w:w="1398" w:type="dxa"/>
            <w:vAlign w:val="center"/>
          </w:tcPr>
          <w:p>
            <w:pPr>
              <w:jc w:val="center"/>
              <w:rPr>
                <w:rFonts w:ascii="黑体" w:hAnsi="黑体" w:eastAsia="黑体"/>
                <w:color w:val="000000"/>
                <w:sz w:val="24"/>
              </w:rPr>
            </w:pPr>
            <w:r>
              <w:rPr>
                <w:rFonts w:ascii="黑体" w:hAnsi="黑体" w:eastAsia="黑体" w:cs="黑体"/>
                <w:color w:val="000000"/>
                <w:sz w:val="24"/>
              </w:rPr>
              <w:t>2020</w:t>
            </w:r>
            <w:r>
              <w:rPr>
                <w:rFonts w:hint="eastAsia" w:ascii="黑体" w:hAnsi="黑体" w:eastAsia="黑体" w:cs="黑体"/>
                <w:color w:val="000000"/>
                <w:sz w:val="24"/>
              </w:rPr>
              <w:t>年完成</w:t>
            </w:r>
          </w:p>
        </w:tc>
        <w:tc>
          <w:tcPr>
            <w:tcW w:w="1318" w:type="dxa"/>
            <w:vAlign w:val="center"/>
          </w:tcPr>
          <w:p>
            <w:pPr>
              <w:wordWrap w:val="0"/>
              <w:jc w:val="center"/>
              <w:rPr>
                <w:rFonts w:ascii="黑体" w:hAnsi="黑体" w:eastAsia="黑体"/>
                <w:color w:val="000000"/>
                <w:sz w:val="24"/>
              </w:rPr>
            </w:pPr>
            <w:r>
              <w:rPr>
                <w:rFonts w:hint="eastAsia" w:ascii="黑体" w:hAnsi="黑体" w:eastAsia="黑体" w:cs="黑体"/>
                <w:color w:val="000000"/>
                <w:sz w:val="24"/>
              </w:rPr>
              <w:t>“十三五”年均增长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73" w:type="dxa"/>
            <w:gridSpan w:val="5"/>
            <w:vAlign w:val="center"/>
          </w:tcPr>
          <w:p>
            <w:pPr>
              <w:jc w:val="center"/>
              <w:rPr>
                <w:rFonts w:eastAsia="黑体"/>
                <w:color w:val="000000"/>
                <w:sz w:val="24"/>
              </w:rPr>
            </w:pPr>
            <w:r>
              <w:rPr>
                <w:rFonts w:hint="eastAsia" w:eastAsia="黑体" w:cs="黑体"/>
                <w:color w:val="000000"/>
                <w:sz w:val="24"/>
              </w:rPr>
              <w:t>一、经济总量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w:t>
            </w:r>
            <w:r>
              <w:rPr>
                <w:rFonts w:hint="eastAsia" w:ascii="仿宋_GB2312" w:eastAsia="仿宋_GB2312" w:cs="仿宋_GB2312"/>
                <w:color w:val="000000"/>
                <w:sz w:val="24"/>
              </w:rPr>
              <w:t>地区生产总值（</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8</w:t>
            </w:r>
          </w:p>
        </w:tc>
        <w:tc>
          <w:tcPr>
            <w:tcW w:w="1398" w:type="dxa"/>
            <w:vAlign w:val="center"/>
          </w:tcPr>
          <w:p>
            <w:pPr>
              <w:jc w:val="center"/>
              <w:rPr>
                <w:rFonts w:ascii="仿宋_GB2312"/>
                <w:color w:val="000000"/>
                <w:sz w:val="24"/>
              </w:rPr>
            </w:pPr>
            <w:r>
              <w:rPr>
                <w:rFonts w:ascii="仿宋_GB2312" w:cs="仿宋_GB2312"/>
                <w:color w:val="000000"/>
                <w:sz w:val="24"/>
              </w:rPr>
              <w:t>3.9</w:t>
            </w:r>
          </w:p>
        </w:tc>
        <w:tc>
          <w:tcPr>
            <w:tcW w:w="1318" w:type="dxa"/>
            <w:vAlign w:val="center"/>
          </w:tcPr>
          <w:p>
            <w:pPr>
              <w:jc w:val="center"/>
              <w:rPr>
                <w:rFonts w:ascii="仿宋_GB2312"/>
                <w:color w:val="000000"/>
                <w:sz w:val="24"/>
              </w:rPr>
            </w:pPr>
            <w:r>
              <w:rPr>
                <w:rFonts w:ascii="仿宋_GB2312" w:cs="仿宋_GB2312"/>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w:t>
            </w:r>
            <w:r>
              <w:rPr>
                <w:rFonts w:hint="eastAsia" w:ascii="仿宋_GB2312" w:eastAsia="仿宋_GB2312" w:cs="仿宋_GB2312"/>
                <w:color w:val="000000"/>
                <w:sz w:val="24"/>
              </w:rPr>
              <w:t>人均地区生产总值（万元）</w:t>
            </w:r>
          </w:p>
        </w:tc>
        <w:tc>
          <w:tcPr>
            <w:tcW w:w="1560" w:type="dxa"/>
            <w:vAlign w:val="center"/>
          </w:tcPr>
          <w:p>
            <w:pPr>
              <w:jc w:val="center"/>
              <w:rPr>
                <w:rFonts w:ascii="仿宋_GB2312" w:cs="仿宋_GB2312"/>
                <w:color w:val="000000"/>
                <w:sz w:val="24"/>
              </w:rPr>
            </w:pPr>
            <w:r>
              <w:rPr>
                <w:rFonts w:ascii="仿宋_GB2312" w:cs="仿宋_GB2312"/>
                <w:color w:val="000000"/>
                <w:sz w:val="24"/>
              </w:rPr>
              <w:t>3.6</w:t>
            </w:r>
          </w:p>
        </w:tc>
        <w:tc>
          <w:tcPr>
            <w:tcW w:w="1559" w:type="dxa"/>
            <w:vAlign w:val="center"/>
          </w:tcPr>
          <w:p>
            <w:pPr>
              <w:jc w:val="center"/>
              <w:rPr>
                <w:color w:val="000000"/>
                <w:sz w:val="24"/>
              </w:rPr>
            </w:pPr>
            <w:r>
              <w:rPr>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4.3</w:t>
            </w:r>
          </w:p>
        </w:tc>
        <w:tc>
          <w:tcPr>
            <w:tcW w:w="1318" w:type="dxa"/>
            <w:vAlign w:val="center"/>
          </w:tcPr>
          <w:p>
            <w:pPr>
              <w:jc w:val="center"/>
              <w:rPr>
                <w:rFonts w:ascii="仿宋_GB2312"/>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3.</w:t>
            </w:r>
            <w:r>
              <w:rPr>
                <w:rFonts w:hint="eastAsia" w:ascii="仿宋_GB2312" w:eastAsia="仿宋_GB2312" w:cs="仿宋_GB2312"/>
                <w:color w:val="000000"/>
                <w:sz w:val="24"/>
              </w:rPr>
              <w:t>规模以上工业增加值增速（</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w:t>
            </w:r>
          </w:p>
        </w:tc>
        <w:tc>
          <w:tcPr>
            <w:tcW w:w="1398" w:type="dxa"/>
            <w:vAlign w:val="center"/>
          </w:tcPr>
          <w:p>
            <w:pPr>
              <w:jc w:val="center"/>
              <w:rPr>
                <w:rFonts w:ascii="仿宋_GB2312"/>
                <w:color w:val="000000"/>
                <w:sz w:val="24"/>
              </w:rPr>
            </w:pPr>
            <w:r>
              <w:rPr>
                <w:rFonts w:ascii="仿宋_GB2312" w:cs="仿宋_GB2312"/>
                <w:color w:val="000000"/>
                <w:sz w:val="24"/>
              </w:rPr>
              <w:t>2.7</w:t>
            </w:r>
          </w:p>
        </w:tc>
        <w:tc>
          <w:tcPr>
            <w:tcW w:w="1318" w:type="dxa"/>
            <w:vAlign w:val="center"/>
          </w:tcPr>
          <w:p>
            <w:pPr>
              <w:jc w:val="center"/>
              <w:rPr>
                <w:rFonts w:ascii="仿宋_GB2312"/>
                <w:color w:val="000000"/>
                <w:sz w:val="24"/>
              </w:rPr>
            </w:pPr>
            <w:r>
              <w:rPr>
                <w:rFonts w:ascii="仿宋_GB2312" w:cs="仿宋_GB2312"/>
                <w:color w:val="00000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4.</w:t>
            </w:r>
            <w:r>
              <w:rPr>
                <w:rFonts w:hint="eastAsia" w:ascii="仿宋_GB2312" w:eastAsia="仿宋_GB2312" w:cs="仿宋_GB2312"/>
                <w:color w:val="000000"/>
                <w:sz w:val="24"/>
              </w:rPr>
              <w:t>固定资产投资（累计）（</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w:t>
            </w:r>
          </w:p>
        </w:tc>
        <w:tc>
          <w:tcPr>
            <w:tcW w:w="1398" w:type="dxa"/>
            <w:vAlign w:val="center"/>
          </w:tcPr>
          <w:p>
            <w:pPr>
              <w:jc w:val="center"/>
              <w:rPr>
                <w:rFonts w:ascii="仿宋_GB2312"/>
                <w:color w:val="000000"/>
                <w:sz w:val="24"/>
              </w:rPr>
            </w:pPr>
            <w:r>
              <w:rPr>
                <w:rFonts w:ascii="仿宋_GB2312" w:cs="仿宋_GB2312"/>
                <w:color w:val="000000"/>
                <w:sz w:val="24"/>
              </w:rPr>
              <w:t>-15.1</w:t>
            </w:r>
          </w:p>
        </w:tc>
        <w:tc>
          <w:tcPr>
            <w:tcW w:w="1318" w:type="dxa"/>
            <w:vAlign w:val="center"/>
          </w:tcPr>
          <w:p>
            <w:pPr>
              <w:jc w:val="center"/>
              <w:rPr>
                <w:rFonts w:ascii="仿宋_GB2312"/>
                <w:color w:val="000000"/>
                <w:sz w:val="24"/>
              </w:rPr>
            </w:pPr>
            <w:r>
              <w:rPr>
                <w:rFonts w:ascii="仿宋_GB2312" w:cs="仿宋_GB2312"/>
                <w:color w:val="000000"/>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5.</w:t>
            </w:r>
            <w:r>
              <w:rPr>
                <w:rFonts w:hint="eastAsia" w:ascii="仿宋_GB2312" w:eastAsia="仿宋_GB2312" w:cs="仿宋_GB2312"/>
                <w:color w:val="000000"/>
                <w:sz w:val="24"/>
              </w:rPr>
              <w:t>社会消费品零售总额（</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w:t>
            </w:r>
          </w:p>
        </w:tc>
        <w:tc>
          <w:tcPr>
            <w:tcW w:w="1398" w:type="dxa"/>
            <w:vAlign w:val="center"/>
          </w:tcPr>
          <w:p>
            <w:pPr>
              <w:jc w:val="center"/>
              <w:rPr>
                <w:rFonts w:ascii="仿宋_GB2312"/>
                <w:color w:val="000000"/>
                <w:sz w:val="24"/>
              </w:rPr>
            </w:pPr>
            <w:r>
              <w:rPr>
                <w:rFonts w:ascii="仿宋_GB2312" w:cs="仿宋_GB2312"/>
                <w:color w:val="000000"/>
                <w:sz w:val="24"/>
              </w:rPr>
              <w:t>1.0</w:t>
            </w:r>
          </w:p>
        </w:tc>
        <w:tc>
          <w:tcPr>
            <w:tcW w:w="1318" w:type="dxa"/>
            <w:vAlign w:val="center"/>
          </w:tcPr>
          <w:p>
            <w:pPr>
              <w:jc w:val="center"/>
              <w:rPr>
                <w:rFonts w:ascii="仿宋_GB2312"/>
                <w:color w:val="000000"/>
                <w:sz w:val="24"/>
              </w:rPr>
            </w:pPr>
            <w:r>
              <w:rPr>
                <w:rFonts w:ascii="仿宋_GB2312" w:cs="仿宋_GB2312"/>
                <w:color w:val="00000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6.</w:t>
            </w:r>
            <w:r>
              <w:rPr>
                <w:rFonts w:hint="eastAsia" w:ascii="仿宋_GB2312" w:eastAsia="仿宋_GB2312" w:cs="仿宋_GB2312"/>
                <w:color w:val="000000"/>
                <w:sz w:val="24"/>
              </w:rPr>
              <w:t>一般公共预算收入（</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8</w:t>
            </w:r>
          </w:p>
        </w:tc>
        <w:tc>
          <w:tcPr>
            <w:tcW w:w="1398" w:type="dxa"/>
            <w:vAlign w:val="center"/>
          </w:tcPr>
          <w:p>
            <w:pPr>
              <w:jc w:val="center"/>
              <w:rPr>
                <w:rFonts w:ascii="仿宋_GB2312"/>
                <w:color w:val="000000"/>
                <w:sz w:val="24"/>
              </w:rPr>
            </w:pPr>
            <w:r>
              <w:rPr>
                <w:rFonts w:ascii="仿宋_GB2312" w:cs="仿宋_GB2312"/>
                <w:color w:val="000000"/>
                <w:sz w:val="24"/>
              </w:rPr>
              <w:t>6</w:t>
            </w:r>
          </w:p>
        </w:tc>
        <w:tc>
          <w:tcPr>
            <w:tcW w:w="1318" w:type="dxa"/>
            <w:vAlign w:val="center"/>
          </w:tcPr>
          <w:p>
            <w:pPr>
              <w:jc w:val="center"/>
              <w:rPr>
                <w:color w:val="000000"/>
                <w:sz w:val="24"/>
              </w:rPr>
            </w:pPr>
            <w:r>
              <w:rPr>
                <w:color w:val="000000"/>
                <w:sz w:val="24"/>
              </w:rPr>
              <w:t>—</w:t>
            </w:r>
          </w:p>
          <w:p>
            <w:pPr>
              <w:jc w:val="center"/>
              <w:rPr>
                <w:rFonts w:ascii="仿宋_GB2312"/>
                <w:color w:val="000000"/>
                <w:sz w:val="24"/>
              </w:rPr>
            </w:pPr>
            <w:r>
              <w:rPr>
                <w:rFonts w:hint="eastAsia" w:ascii="仿宋_GB2312" w:eastAsia="仿宋_GB2312" w:cs="仿宋_GB2312"/>
                <w:color w:val="000000"/>
              </w:rPr>
              <w:t>（统计口径发生变化</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3" w:type="dxa"/>
            <w:gridSpan w:val="5"/>
            <w:vAlign w:val="center"/>
          </w:tcPr>
          <w:p>
            <w:pPr>
              <w:jc w:val="center"/>
              <w:rPr>
                <w:color w:val="000000"/>
                <w:sz w:val="24"/>
              </w:rPr>
            </w:pPr>
            <w:r>
              <w:rPr>
                <w:rFonts w:hint="eastAsia" w:eastAsia="黑体" w:cs="黑体"/>
                <w:color w:val="000000"/>
                <w:sz w:val="24"/>
              </w:rPr>
              <w:t>二、创新发展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7.</w:t>
            </w:r>
            <w:r>
              <w:rPr>
                <w:rFonts w:hint="eastAsia" w:ascii="仿宋_GB2312" w:eastAsia="仿宋_GB2312" w:cs="仿宋_GB2312"/>
                <w:color w:val="000000"/>
                <w:sz w:val="24"/>
              </w:rPr>
              <w:t>战略性新兴产业产值占规模以上工业产值比重（</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45</w:t>
            </w:r>
          </w:p>
        </w:tc>
        <w:tc>
          <w:tcPr>
            <w:tcW w:w="4275" w:type="dxa"/>
            <w:gridSpan w:val="3"/>
            <w:vAlign w:val="center"/>
          </w:tcPr>
          <w:p>
            <w:pPr>
              <w:jc w:val="center"/>
              <w:rPr>
                <w:rFonts w:ascii="仿宋_GB2312" w:eastAsia="仿宋_GB2312" w:cs="仿宋_GB2312"/>
                <w:color w:val="000000"/>
              </w:rPr>
            </w:pPr>
            <w:r>
              <w:rPr>
                <w:rFonts w:hint="eastAsia" w:ascii="仿宋_GB2312" w:eastAsia="仿宋_GB2312" w:cs="仿宋_GB2312"/>
                <w:color w:val="000000"/>
              </w:rPr>
              <w:t>“十三五”后期该指标不统计，调整为“战新产业产值”指标，“十三五”战新产值年均增长</w:t>
            </w:r>
            <w:r>
              <w:rPr>
                <w:rFonts w:ascii="仿宋_GB2312" w:eastAsia="仿宋_GB2312" w:cs="仿宋_GB2312"/>
                <w:color w:val="000000"/>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8.</w:t>
            </w:r>
            <w:r>
              <w:rPr>
                <w:rFonts w:hint="eastAsia" w:ascii="仿宋_GB2312" w:eastAsia="仿宋_GB2312" w:cs="仿宋_GB2312"/>
                <w:color w:val="000000"/>
                <w:sz w:val="24"/>
              </w:rPr>
              <w:t>高新技术企业数（个）</w:t>
            </w:r>
          </w:p>
        </w:tc>
        <w:tc>
          <w:tcPr>
            <w:tcW w:w="1560" w:type="dxa"/>
            <w:vAlign w:val="center"/>
          </w:tcPr>
          <w:p>
            <w:pPr>
              <w:jc w:val="center"/>
              <w:rPr>
                <w:rFonts w:ascii="仿宋_GB2312"/>
                <w:color w:val="000000"/>
                <w:sz w:val="24"/>
              </w:rPr>
            </w:pPr>
            <w:r>
              <w:rPr>
                <w:rFonts w:ascii="仿宋_GB2312" w:cs="仿宋_GB2312"/>
                <w:color w:val="000000"/>
                <w:sz w:val="24"/>
              </w:rPr>
              <w:t>20</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s="仿宋_GB2312"/>
                <w:color w:val="000000"/>
                <w:sz w:val="24"/>
              </w:rPr>
            </w:pPr>
            <w:r>
              <w:rPr>
                <w:rFonts w:ascii="仿宋_GB2312" w:cs="仿宋_GB2312"/>
                <w:color w:val="000000"/>
                <w:sz w:val="24"/>
              </w:rPr>
              <w:t>13</w:t>
            </w:r>
          </w:p>
        </w:tc>
        <w:tc>
          <w:tcPr>
            <w:tcW w:w="1318" w:type="dxa"/>
            <w:vAlign w:val="center"/>
          </w:tcPr>
          <w:p>
            <w:pPr>
              <w:jc w:val="center"/>
              <w:rPr>
                <w:rFonts w:ascii="仿宋_GB2312"/>
                <w:color w:val="000000"/>
                <w:sz w:val="24"/>
                <w:highlight w:val="black"/>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9.</w:t>
            </w:r>
            <w:r>
              <w:rPr>
                <w:rFonts w:hint="eastAsia" w:ascii="仿宋_GB2312" w:eastAsia="仿宋_GB2312" w:cs="仿宋_GB2312"/>
                <w:color w:val="000000"/>
                <w:sz w:val="24"/>
              </w:rPr>
              <w:t>专业人才（个）</w:t>
            </w:r>
          </w:p>
        </w:tc>
        <w:tc>
          <w:tcPr>
            <w:tcW w:w="1560" w:type="dxa"/>
            <w:vAlign w:val="center"/>
          </w:tcPr>
          <w:p>
            <w:pPr>
              <w:jc w:val="center"/>
              <w:rPr>
                <w:rFonts w:ascii="仿宋_GB2312" w:cs="仿宋_GB2312"/>
                <w:color w:val="000000"/>
                <w:sz w:val="24"/>
              </w:rPr>
            </w:pPr>
            <w:r>
              <w:rPr>
                <w:rFonts w:ascii="仿宋_GB2312" w:cs="仿宋_GB2312"/>
                <w:color w:val="000000"/>
                <w:sz w:val="24"/>
              </w:rPr>
              <w:t>6109</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6115</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10.</w:t>
            </w:r>
            <w:r>
              <w:rPr>
                <w:rFonts w:hint="eastAsia" w:ascii="仿宋_GB2312" w:eastAsia="仿宋_GB2312" w:cs="仿宋_GB2312"/>
                <w:color w:val="000000"/>
                <w:sz w:val="24"/>
              </w:rPr>
              <w:t>高技能人才（个）</w:t>
            </w:r>
          </w:p>
        </w:tc>
        <w:tc>
          <w:tcPr>
            <w:tcW w:w="1560" w:type="dxa"/>
            <w:vAlign w:val="center"/>
          </w:tcPr>
          <w:p>
            <w:pPr>
              <w:jc w:val="center"/>
              <w:rPr>
                <w:rFonts w:ascii="仿宋_GB2312" w:cs="仿宋_GB2312"/>
                <w:color w:val="000000"/>
                <w:sz w:val="24"/>
              </w:rPr>
            </w:pPr>
            <w:r>
              <w:rPr>
                <w:rFonts w:ascii="仿宋_GB2312" w:cs="仿宋_GB2312"/>
                <w:color w:val="000000"/>
                <w:sz w:val="24"/>
              </w:rPr>
              <w:t>2636</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2657</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3" w:type="dxa"/>
            <w:gridSpan w:val="5"/>
            <w:vAlign w:val="center"/>
          </w:tcPr>
          <w:p>
            <w:pPr>
              <w:jc w:val="center"/>
              <w:rPr>
                <w:color w:val="000000"/>
                <w:sz w:val="24"/>
              </w:rPr>
            </w:pPr>
            <w:r>
              <w:rPr>
                <w:rFonts w:hint="eastAsia" w:eastAsia="黑体" w:cs="黑体"/>
                <w:color w:val="000000"/>
                <w:sz w:val="24"/>
              </w:rPr>
              <w:t>三、协调发展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11.</w:t>
            </w:r>
            <w:r>
              <w:rPr>
                <w:rFonts w:hint="eastAsia" w:ascii="仿宋_GB2312" w:eastAsia="仿宋_GB2312" w:cs="仿宋_GB2312"/>
                <w:color w:val="000000"/>
                <w:sz w:val="24"/>
              </w:rPr>
              <w:t>服务业增加值（</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2.0</w:t>
            </w:r>
          </w:p>
        </w:tc>
        <w:tc>
          <w:tcPr>
            <w:tcW w:w="1318" w:type="dxa"/>
            <w:vAlign w:val="center"/>
          </w:tcPr>
          <w:p>
            <w:pPr>
              <w:jc w:val="center"/>
              <w:rPr>
                <w:rFonts w:ascii="仿宋_GB2312"/>
                <w:color w:val="000000"/>
                <w:sz w:val="24"/>
              </w:rPr>
            </w:pPr>
            <w:r>
              <w:rPr>
                <w:rFonts w:ascii="仿宋_GB2312" w:cs="仿宋_GB2312"/>
                <w:color w:val="00000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12.</w:t>
            </w:r>
            <w:r>
              <w:rPr>
                <w:rFonts w:hint="eastAsia" w:ascii="仿宋_GB2312" w:eastAsia="仿宋_GB2312" w:cs="仿宋_GB2312"/>
                <w:color w:val="000000"/>
                <w:sz w:val="24"/>
              </w:rPr>
              <w:t>常住人口城镇化率（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52</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49.8</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13.</w:t>
            </w:r>
            <w:r>
              <w:rPr>
                <w:rFonts w:hint="eastAsia" w:ascii="仿宋_GB2312" w:eastAsia="仿宋_GB2312" w:cs="仿宋_GB2312"/>
                <w:color w:val="000000"/>
                <w:sz w:val="24"/>
              </w:rPr>
              <w:t>户籍人口城镇化率（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31</w:t>
            </w:r>
          </w:p>
        </w:tc>
        <w:tc>
          <w:tcPr>
            <w:tcW w:w="1559" w:type="dxa"/>
            <w:vAlign w:val="center"/>
          </w:tcPr>
          <w:p>
            <w:pPr>
              <w:jc w:val="center"/>
              <w:rPr>
                <w:rFonts w:ascii="仿宋_GB2312" w:eastAsia="仿宋_GB2312"/>
                <w:color w:val="000000"/>
                <w:sz w:val="24"/>
              </w:rPr>
            </w:pPr>
            <w:r>
              <w:rPr>
                <w:rFonts w:ascii="仿宋_GB2312"/>
                <w:color w:val="000000"/>
                <w:sz w:val="24"/>
              </w:rPr>
              <w:t>—</w:t>
            </w:r>
          </w:p>
        </w:tc>
        <w:tc>
          <w:tcPr>
            <w:tcW w:w="1398"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28.52</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14.</w:t>
            </w:r>
            <w:r>
              <w:rPr>
                <w:rFonts w:hint="eastAsia" w:ascii="仿宋_GB2312" w:eastAsia="仿宋_GB2312" w:cs="仿宋_GB2312"/>
                <w:color w:val="000000"/>
                <w:sz w:val="24"/>
              </w:rPr>
              <w:t>旅游接待人数（</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11</w:t>
            </w:r>
          </w:p>
        </w:tc>
        <w:tc>
          <w:tcPr>
            <w:tcW w:w="1398" w:type="dxa"/>
            <w:vAlign w:val="center"/>
          </w:tcPr>
          <w:p>
            <w:pPr>
              <w:jc w:val="center"/>
              <w:rPr>
                <w:rFonts w:ascii="仿宋_GB2312"/>
                <w:color w:val="000000"/>
                <w:sz w:val="24"/>
              </w:rPr>
            </w:pPr>
            <w:r>
              <w:rPr>
                <w:rFonts w:ascii="仿宋_GB2312" w:cs="仿宋_GB2312"/>
                <w:color w:val="000000"/>
                <w:sz w:val="24"/>
              </w:rPr>
              <w:t>-40.8</w:t>
            </w:r>
          </w:p>
        </w:tc>
        <w:tc>
          <w:tcPr>
            <w:tcW w:w="1318" w:type="dxa"/>
            <w:vAlign w:val="center"/>
          </w:tcPr>
          <w:p>
            <w:pPr>
              <w:jc w:val="center"/>
              <w:rPr>
                <w:rFonts w:ascii="仿宋_GB2312"/>
                <w:color w:val="000000"/>
                <w:sz w:val="24"/>
              </w:rPr>
            </w:pPr>
            <w:r>
              <w:rPr>
                <w:rFonts w:ascii="仿宋_GB2312" w:cs="仿宋_GB2312"/>
                <w:color w:val="00000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15.</w:t>
            </w:r>
            <w:r>
              <w:rPr>
                <w:rFonts w:hint="eastAsia" w:ascii="仿宋_GB2312" w:eastAsia="仿宋_GB2312" w:cs="仿宋_GB2312"/>
                <w:color w:val="000000"/>
                <w:sz w:val="24"/>
              </w:rPr>
              <w:t>旅游总收入（</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11</w:t>
            </w:r>
          </w:p>
        </w:tc>
        <w:tc>
          <w:tcPr>
            <w:tcW w:w="1398" w:type="dxa"/>
            <w:vAlign w:val="center"/>
          </w:tcPr>
          <w:p>
            <w:pPr>
              <w:jc w:val="center"/>
              <w:rPr>
                <w:rFonts w:ascii="仿宋_GB2312"/>
                <w:color w:val="000000"/>
                <w:sz w:val="24"/>
              </w:rPr>
            </w:pPr>
            <w:r>
              <w:rPr>
                <w:rFonts w:ascii="仿宋_GB2312" w:cs="仿宋_GB2312"/>
                <w:color w:val="000000"/>
                <w:sz w:val="24"/>
              </w:rPr>
              <w:t>-42.7</w:t>
            </w:r>
          </w:p>
        </w:tc>
        <w:tc>
          <w:tcPr>
            <w:tcW w:w="1318" w:type="dxa"/>
            <w:vAlign w:val="center"/>
          </w:tcPr>
          <w:p>
            <w:pPr>
              <w:jc w:val="center"/>
              <w:rPr>
                <w:rFonts w:ascii="仿宋_GB2312"/>
                <w:color w:val="000000"/>
                <w:sz w:val="24"/>
              </w:rPr>
            </w:pPr>
            <w:r>
              <w:rPr>
                <w:rFonts w:ascii="仿宋_GB2312" w:cs="仿宋_GB2312"/>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3" w:type="dxa"/>
            <w:gridSpan w:val="5"/>
            <w:vAlign w:val="center"/>
          </w:tcPr>
          <w:p>
            <w:pPr>
              <w:jc w:val="center"/>
              <w:rPr>
                <w:color w:val="000000"/>
                <w:sz w:val="24"/>
              </w:rPr>
            </w:pPr>
            <w:r>
              <w:rPr>
                <w:rFonts w:hint="eastAsia" w:eastAsia="黑体" w:cs="黑体"/>
                <w:color w:val="000000"/>
                <w:sz w:val="24"/>
              </w:rPr>
              <w:t>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16.</w:t>
            </w:r>
            <w:r>
              <w:rPr>
                <w:rFonts w:hint="eastAsia" w:ascii="仿宋_GB2312" w:eastAsia="仿宋_GB2312" w:cs="仿宋_GB2312"/>
                <w:color w:val="000000"/>
                <w:sz w:val="24"/>
              </w:rPr>
              <w:t>森林覆盖率（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83.5</w:t>
            </w:r>
          </w:p>
        </w:tc>
        <w:tc>
          <w:tcPr>
            <w:tcW w:w="1559" w:type="dxa"/>
            <w:vAlign w:val="center"/>
          </w:tcPr>
          <w:p>
            <w:pPr>
              <w:jc w:val="center"/>
              <w:rPr>
                <w:color w:val="000000"/>
                <w:sz w:val="24"/>
              </w:rPr>
            </w:pPr>
            <w:r>
              <w:rPr>
                <w:rFonts w:eastAsia="黑体"/>
                <w:color w:val="000000"/>
                <w:sz w:val="24"/>
              </w:rPr>
              <w:t>—</w:t>
            </w:r>
          </w:p>
        </w:tc>
        <w:tc>
          <w:tcPr>
            <w:tcW w:w="1398"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83.27</w:t>
            </w:r>
          </w:p>
        </w:tc>
        <w:tc>
          <w:tcPr>
            <w:tcW w:w="1318" w:type="dxa"/>
            <w:vAlign w:val="center"/>
          </w:tcPr>
          <w:p>
            <w:pPr>
              <w:jc w:val="center"/>
              <w:rPr>
                <w:color w:val="000000"/>
                <w:sz w:val="24"/>
              </w:rPr>
            </w:pPr>
            <w:r>
              <w:rPr>
                <w:rFonts w:eastAsia="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17.</w:t>
            </w:r>
            <w:r>
              <w:rPr>
                <w:rFonts w:hint="eastAsia" w:ascii="仿宋_GB2312" w:eastAsia="仿宋_GB2312" w:cs="仿宋_GB2312"/>
                <w:color w:val="000000"/>
                <w:sz w:val="24"/>
              </w:rPr>
              <w:t>万元</w:t>
            </w:r>
            <w:r>
              <w:rPr>
                <w:rFonts w:ascii="仿宋_GB2312" w:eastAsia="仿宋_GB2312" w:cs="仿宋_GB2312"/>
                <w:color w:val="000000"/>
                <w:sz w:val="24"/>
              </w:rPr>
              <w:t>GDP</w:t>
            </w:r>
            <w:r>
              <w:rPr>
                <w:rFonts w:hint="eastAsia" w:ascii="仿宋_GB2312" w:eastAsia="仿宋_GB2312" w:cs="仿宋_GB2312"/>
                <w:color w:val="000000"/>
                <w:sz w:val="24"/>
              </w:rPr>
              <w:t>能耗（吨标准煤</w:t>
            </w:r>
            <w:r>
              <w:rPr>
                <w:rFonts w:ascii="仿宋_GB2312" w:eastAsia="仿宋_GB2312" w:cs="仿宋_GB2312"/>
                <w:color w:val="000000"/>
                <w:sz w:val="24"/>
              </w:rPr>
              <w:t>/</w:t>
            </w:r>
            <w:r>
              <w:rPr>
                <w:rFonts w:hint="eastAsia" w:ascii="仿宋_GB2312" w:eastAsia="仿宋_GB2312" w:cs="仿宋_GB2312"/>
                <w:color w:val="000000"/>
                <w:sz w:val="24"/>
              </w:rPr>
              <w:t>万元）</w:t>
            </w:r>
          </w:p>
        </w:tc>
        <w:tc>
          <w:tcPr>
            <w:tcW w:w="1560" w:type="dxa"/>
            <w:vAlign w:val="center"/>
          </w:tcPr>
          <w:p>
            <w:pPr>
              <w:jc w:val="center"/>
              <w:rPr>
                <w:rFonts w:eastAsia="黑体"/>
                <w:color w:val="000000"/>
                <w:sz w:val="24"/>
              </w:rPr>
            </w:pPr>
            <w:r>
              <w:rPr>
                <w:rFonts w:eastAsia="黑体"/>
                <w:color w:val="000000"/>
                <w:sz w:val="24"/>
              </w:rPr>
              <w:t>—</w:t>
            </w:r>
          </w:p>
        </w:tc>
        <w:tc>
          <w:tcPr>
            <w:tcW w:w="1559" w:type="dxa"/>
            <w:vAlign w:val="center"/>
          </w:tcPr>
          <w:p>
            <w:pPr>
              <w:jc w:val="center"/>
              <w:rPr>
                <w:rFonts w:ascii="仿宋_GB2312" w:eastAsia="仿宋_GB2312" w:cs="仿宋_GB2312"/>
                <w:color w:val="000000"/>
                <w:sz w:val="24"/>
              </w:rPr>
            </w:pPr>
            <w:r>
              <w:rPr>
                <w:rFonts w:hint="eastAsia" w:ascii="仿宋_GB2312" w:eastAsia="仿宋_GB2312" w:cs="仿宋_GB2312"/>
                <w:color w:val="000000"/>
                <w:sz w:val="24"/>
              </w:rPr>
              <w:t>下降</w:t>
            </w:r>
            <w:r>
              <w:rPr>
                <w:rFonts w:ascii="仿宋_GB2312" w:eastAsia="仿宋_GB2312" w:cs="仿宋_GB2312"/>
                <w:color w:val="000000"/>
                <w:sz w:val="24"/>
              </w:rPr>
              <w:t>12</w:t>
            </w:r>
          </w:p>
        </w:tc>
        <w:tc>
          <w:tcPr>
            <w:tcW w:w="2716" w:type="dxa"/>
            <w:gridSpan w:val="2"/>
            <w:vAlign w:val="center"/>
          </w:tcPr>
          <w:p>
            <w:pPr>
              <w:jc w:val="center"/>
              <w:rPr>
                <w:rFonts w:ascii="仿宋_GB2312" w:eastAsia="仿宋_GB2312"/>
                <w:color w:val="000000"/>
                <w:sz w:val="24"/>
              </w:rPr>
            </w:pPr>
            <w:r>
              <w:rPr>
                <w:rFonts w:hint="eastAsia" w:ascii="仿宋_GB2312" w:eastAsia="仿宋_GB2312" w:cs="仿宋_GB2312"/>
                <w:color w:val="000000"/>
                <w:sz w:val="24"/>
              </w:rPr>
              <w:t>累计下降</w:t>
            </w:r>
            <w:r>
              <w:rPr>
                <w:rFonts w:ascii="仿宋_GB2312" w:eastAsia="仿宋_GB2312" w:cs="仿宋_GB2312"/>
                <w:color w:val="000000"/>
                <w:sz w:val="24"/>
              </w:rPr>
              <w:t>12</w:t>
            </w:r>
            <w:r>
              <w:rPr>
                <w:rFonts w:hint="eastAsia" w:ascii="仿宋_GB2312" w:eastAsia="仿宋_GB2312" w:cs="仿宋_GB2312"/>
                <w:color w:val="000000"/>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18.</w:t>
            </w:r>
            <w:r>
              <w:rPr>
                <w:rFonts w:hint="eastAsia" w:ascii="仿宋_GB2312" w:eastAsia="仿宋_GB2312" w:cs="仿宋_GB2312"/>
                <w:color w:val="000000"/>
                <w:sz w:val="24"/>
              </w:rPr>
              <w:t>集中式饮用水源水质达标率（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eastAsia="仿宋_GB2312" w:cs="仿宋_GB2312"/>
                <w:color w:val="000000"/>
                <w:sz w:val="24"/>
              </w:rPr>
            </w:pPr>
            <w:r>
              <w:rPr>
                <w:rFonts w:ascii="仿宋_GB2312" w:eastAsia="仿宋_GB2312" w:cs="仿宋_GB2312"/>
                <w:color w:val="000000"/>
                <w:sz w:val="24"/>
              </w:rPr>
              <w:t>100</w:t>
            </w:r>
          </w:p>
        </w:tc>
        <w:tc>
          <w:tcPr>
            <w:tcW w:w="1559" w:type="dxa"/>
            <w:vAlign w:val="center"/>
          </w:tcPr>
          <w:p>
            <w:pPr>
              <w:jc w:val="center"/>
              <w:rPr>
                <w:color w:val="000000"/>
                <w:sz w:val="24"/>
              </w:rPr>
            </w:pPr>
            <w:r>
              <w:rPr>
                <w:rFonts w:eastAsia="黑体"/>
                <w:color w:val="000000"/>
                <w:sz w:val="24"/>
              </w:rPr>
              <w:t>—</w:t>
            </w:r>
          </w:p>
        </w:tc>
        <w:tc>
          <w:tcPr>
            <w:tcW w:w="1398" w:type="dxa"/>
            <w:vAlign w:val="center"/>
          </w:tcPr>
          <w:p>
            <w:pPr>
              <w:jc w:val="center"/>
              <w:rPr>
                <w:color w:val="000000"/>
                <w:sz w:val="24"/>
              </w:rPr>
            </w:pPr>
            <w:r>
              <w:rPr>
                <w:color w:val="000000"/>
                <w:sz w:val="24"/>
              </w:rPr>
              <w:t>100</w:t>
            </w:r>
          </w:p>
        </w:tc>
        <w:tc>
          <w:tcPr>
            <w:tcW w:w="1318" w:type="dxa"/>
            <w:vAlign w:val="center"/>
          </w:tcPr>
          <w:p>
            <w:pPr>
              <w:jc w:val="center"/>
              <w:rPr>
                <w:color w:val="000000"/>
                <w:sz w:val="24"/>
              </w:rPr>
            </w:pPr>
            <w:r>
              <w:rPr>
                <w:rFonts w:eastAsia="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19.</w:t>
            </w:r>
            <w:r>
              <w:rPr>
                <w:rFonts w:hint="eastAsia" w:ascii="仿宋_GB2312" w:eastAsia="仿宋_GB2312" w:cs="仿宋_GB2312"/>
                <w:color w:val="000000"/>
                <w:sz w:val="24"/>
              </w:rPr>
              <w:t>工业固体废弃物综合利用率（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&gt;90</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100</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20.</w:t>
            </w:r>
            <w:r>
              <w:rPr>
                <w:rFonts w:hint="eastAsia" w:ascii="仿宋_GB2312" w:eastAsia="仿宋_GB2312" w:cs="仿宋_GB2312"/>
                <w:color w:val="000000"/>
                <w:sz w:val="24"/>
              </w:rPr>
              <w:t>城镇生活垃圾无害化处理率（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&gt;98</w:t>
            </w:r>
          </w:p>
        </w:tc>
        <w:tc>
          <w:tcPr>
            <w:tcW w:w="1559" w:type="dxa"/>
            <w:vAlign w:val="center"/>
          </w:tcPr>
          <w:p>
            <w:pPr>
              <w:jc w:val="center"/>
              <w:rPr>
                <w:rFonts w:ascii="仿宋_GB2312"/>
                <w:color w:val="000000"/>
                <w:sz w:val="24"/>
              </w:rPr>
            </w:pPr>
            <w:r>
              <w:rPr>
                <w:rFonts w:ascii="仿宋_GB2312"/>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100</w:t>
            </w:r>
          </w:p>
        </w:tc>
        <w:tc>
          <w:tcPr>
            <w:tcW w:w="1318" w:type="dxa"/>
            <w:vAlign w:val="center"/>
          </w:tcPr>
          <w:p>
            <w:pPr>
              <w:jc w:val="center"/>
              <w:rPr>
                <w:rFonts w:ascii="仿宋_GB2312"/>
                <w:color w:val="000000"/>
                <w:sz w:val="24"/>
              </w:rPr>
            </w:pPr>
            <w:r>
              <w:rPr>
                <w:rFonts w:ascii="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3" w:type="dxa"/>
            <w:gridSpan w:val="5"/>
            <w:vAlign w:val="center"/>
          </w:tcPr>
          <w:p>
            <w:pPr>
              <w:jc w:val="center"/>
              <w:rPr>
                <w:color w:val="000000"/>
                <w:sz w:val="24"/>
              </w:rPr>
            </w:pPr>
            <w:r>
              <w:rPr>
                <w:rFonts w:hint="eastAsia" w:eastAsia="黑体" w:cs="黑体"/>
                <w:color w:val="000000"/>
                <w:sz w:val="24"/>
              </w:rPr>
              <w:t>五、开放发展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21.</w:t>
            </w:r>
            <w:r>
              <w:rPr>
                <w:rFonts w:hint="eastAsia" w:ascii="仿宋_GB2312" w:eastAsia="仿宋_GB2312" w:cs="仿宋_GB2312"/>
                <w:color w:val="000000"/>
                <w:sz w:val="24"/>
              </w:rPr>
              <w:t>外贸进出口总额（</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8</w:t>
            </w:r>
          </w:p>
        </w:tc>
        <w:tc>
          <w:tcPr>
            <w:tcW w:w="1398" w:type="dxa"/>
            <w:vAlign w:val="center"/>
          </w:tcPr>
          <w:p>
            <w:pPr>
              <w:jc w:val="center"/>
              <w:rPr>
                <w:rFonts w:ascii="仿宋_GB2312" w:cs="仿宋_GB2312"/>
                <w:color w:val="000000"/>
                <w:sz w:val="24"/>
              </w:rPr>
            </w:pPr>
            <w:r>
              <w:rPr>
                <w:rFonts w:ascii="仿宋_GB2312" w:cs="仿宋_GB2312"/>
                <w:color w:val="000000"/>
                <w:sz w:val="24"/>
              </w:rPr>
              <w:t>-10.3</w:t>
            </w:r>
          </w:p>
        </w:tc>
        <w:tc>
          <w:tcPr>
            <w:tcW w:w="1318" w:type="dxa"/>
            <w:vAlign w:val="center"/>
          </w:tcPr>
          <w:p>
            <w:pPr>
              <w:jc w:val="center"/>
              <w:rPr>
                <w:rFonts w:ascii="仿宋_GB2312" w:cs="仿宋_GB2312"/>
                <w:color w:val="000000"/>
                <w:sz w:val="24"/>
              </w:rPr>
            </w:pPr>
            <w:r>
              <w:rPr>
                <w:rFonts w:ascii="仿宋_GB2312" w:cs="仿宋_GB2312"/>
                <w:color w:val="000000"/>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22.</w:t>
            </w:r>
            <w:r>
              <w:rPr>
                <w:rFonts w:hint="eastAsia" w:ascii="仿宋_GB2312" w:eastAsia="仿宋_GB2312" w:cs="仿宋_GB2312"/>
                <w:color w:val="000000"/>
                <w:sz w:val="24"/>
              </w:rPr>
              <w:t>招商项目到位内资增速（</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w:t>
            </w:r>
          </w:p>
        </w:tc>
        <w:tc>
          <w:tcPr>
            <w:tcW w:w="1398" w:type="dxa"/>
            <w:vAlign w:val="center"/>
          </w:tcPr>
          <w:p>
            <w:pPr>
              <w:jc w:val="center"/>
              <w:rPr>
                <w:rFonts w:ascii="仿宋_GB2312"/>
                <w:color w:val="000000"/>
                <w:sz w:val="24"/>
              </w:rPr>
            </w:pPr>
            <w:r>
              <w:rPr>
                <w:rFonts w:ascii="仿宋_GB2312" w:cs="仿宋_GB2312"/>
                <w:color w:val="000000"/>
                <w:sz w:val="24"/>
              </w:rPr>
              <w:t>15.2</w:t>
            </w:r>
          </w:p>
        </w:tc>
        <w:tc>
          <w:tcPr>
            <w:tcW w:w="1318" w:type="dxa"/>
            <w:vAlign w:val="center"/>
          </w:tcPr>
          <w:p>
            <w:pPr>
              <w:jc w:val="center"/>
              <w:rPr>
                <w:rFonts w:ascii="仿宋_GB2312"/>
                <w:color w:val="000000"/>
                <w:sz w:val="24"/>
              </w:rPr>
            </w:pPr>
            <w:r>
              <w:rPr>
                <w:rFonts w:ascii="仿宋_GB2312" w:cs="仿宋_GB2312"/>
                <w:color w:val="000000"/>
                <w:sz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23.</w:t>
            </w:r>
            <w:r>
              <w:rPr>
                <w:rFonts w:hint="eastAsia" w:ascii="仿宋_GB2312" w:eastAsia="仿宋_GB2312" w:cs="仿宋_GB2312"/>
                <w:color w:val="000000"/>
                <w:sz w:val="24"/>
              </w:rPr>
              <w:t>招商项目到位外资增速（</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w:t>
            </w:r>
          </w:p>
        </w:tc>
        <w:tc>
          <w:tcPr>
            <w:tcW w:w="1398" w:type="dxa"/>
            <w:vAlign w:val="center"/>
          </w:tcPr>
          <w:p>
            <w:pPr>
              <w:jc w:val="center"/>
              <w:rPr>
                <w:rFonts w:ascii="仿宋_GB2312"/>
                <w:color w:val="000000"/>
                <w:sz w:val="24"/>
              </w:rPr>
            </w:pPr>
            <w:r>
              <w:rPr>
                <w:rFonts w:ascii="仿宋_GB2312" w:cs="仿宋_GB2312"/>
                <w:color w:val="000000"/>
                <w:sz w:val="24"/>
              </w:rPr>
              <w:t>9.4</w:t>
            </w:r>
          </w:p>
        </w:tc>
        <w:tc>
          <w:tcPr>
            <w:tcW w:w="1318" w:type="dxa"/>
            <w:vAlign w:val="center"/>
          </w:tcPr>
          <w:p>
            <w:pPr>
              <w:jc w:val="center"/>
              <w:rPr>
                <w:rFonts w:ascii="仿宋_GB2312"/>
                <w:color w:val="000000"/>
                <w:sz w:val="24"/>
              </w:rPr>
            </w:pPr>
            <w:r>
              <w:rPr>
                <w:rFonts w:ascii="仿宋_GB2312" w:cs="仿宋_GB2312"/>
                <w:color w:val="000000"/>
                <w:sz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73" w:type="dxa"/>
            <w:gridSpan w:val="5"/>
            <w:vAlign w:val="center"/>
          </w:tcPr>
          <w:p>
            <w:pPr>
              <w:jc w:val="center"/>
              <w:rPr>
                <w:color w:val="000000"/>
                <w:sz w:val="24"/>
              </w:rPr>
            </w:pPr>
            <w:r>
              <w:rPr>
                <w:rFonts w:hint="eastAsia" w:eastAsia="黑体" w:cs="黑体"/>
                <w:color w:val="000000"/>
                <w:sz w:val="24"/>
              </w:rPr>
              <w:t>六、共享发展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24.</w:t>
            </w:r>
            <w:r>
              <w:rPr>
                <w:rFonts w:hint="eastAsia" w:ascii="仿宋_GB2312" w:eastAsia="仿宋_GB2312" w:cs="仿宋_GB2312"/>
                <w:color w:val="000000"/>
                <w:sz w:val="24"/>
              </w:rPr>
              <w:t>年末总人口（万人）</w:t>
            </w:r>
          </w:p>
        </w:tc>
        <w:tc>
          <w:tcPr>
            <w:tcW w:w="1560" w:type="dxa"/>
            <w:vAlign w:val="center"/>
          </w:tcPr>
          <w:p>
            <w:pPr>
              <w:jc w:val="center"/>
              <w:rPr>
                <w:rFonts w:ascii="仿宋_GB2312" w:cs="仿宋_GB2312"/>
                <w:color w:val="000000"/>
                <w:sz w:val="24"/>
              </w:rPr>
            </w:pPr>
            <w:r>
              <w:rPr>
                <w:rFonts w:ascii="仿宋_GB2312" w:cs="仿宋_GB2312"/>
                <w:color w:val="000000"/>
                <w:sz w:val="24"/>
              </w:rPr>
              <w:t>28.04</w:t>
            </w:r>
          </w:p>
        </w:tc>
        <w:tc>
          <w:tcPr>
            <w:tcW w:w="1559" w:type="dxa"/>
            <w:vAlign w:val="center"/>
          </w:tcPr>
          <w:p>
            <w:pPr>
              <w:jc w:val="center"/>
              <w:rPr>
                <w:rFonts w:ascii="仿宋_GB2312"/>
                <w:color w:val="000000"/>
                <w:sz w:val="24"/>
              </w:rPr>
            </w:pPr>
            <w:r>
              <w:rPr>
                <w:color w:val="000000"/>
                <w:sz w:val="24"/>
              </w:rPr>
              <w:t>—</w:t>
            </w:r>
          </w:p>
        </w:tc>
        <w:tc>
          <w:tcPr>
            <w:tcW w:w="1398" w:type="dxa"/>
            <w:vAlign w:val="center"/>
          </w:tcPr>
          <w:p>
            <w:pPr>
              <w:jc w:val="center"/>
              <w:rPr>
                <w:rFonts w:ascii="仿宋_GB2312" w:cs="仿宋_GB2312"/>
                <w:color w:val="000000"/>
                <w:sz w:val="24"/>
              </w:rPr>
            </w:pPr>
            <w:r>
              <w:rPr>
                <w:rFonts w:ascii="仿宋_GB2312" w:cs="仿宋_GB2312"/>
                <w:color w:val="000000"/>
                <w:sz w:val="24"/>
              </w:rPr>
              <w:t>26.75</w:t>
            </w:r>
          </w:p>
        </w:tc>
        <w:tc>
          <w:tcPr>
            <w:tcW w:w="1318" w:type="dxa"/>
            <w:vAlign w:val="center"/>
          </w:tcPr>
          <w:p>
            <w:pPr>
              <w:jc w:val="center"/>
              <w:rPr>
                <w:rFonts w:ascii="仿宋_GB2312"/>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25.</w:t>
            </w:r>
            <w:r>
              <w:rPr>
                <w:rFonts w:hint="eastAsia" w:ascii="仿宋_GB2312" w:eastAsia="仿宋_GB2312" w:cs="仿宋_GB2312"/>
                <w:color w:val="000000"/>
                <w:sz w:val="24"/>
              </w:rPr>
              <w:t>城镇常住居民人均可支配收入（</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9.5</w:t>
            </w:r>
          </w:p>
        </w:tc>
        <w:tc>
          <w:tcPr>
            <w:tcW w:w="1398" w:type="dxa"/>
            <w:vAlign w:val="center"/>
          </w:tcPr>
          <w:p>
            <w:pPr>
              <w:jc w:val="center"/>
              <w:rPr>
                <w:rFonts w:ascii="仿宋_GB2312"/>
                <w:color w:val="000000"/>
                <w:sz w:val="24"/>
              </w:rPr>
            </w:pPr>
            <w:r>
              <w:rPr>
                <w:rFonts w:ascii="仿宋_GB2312" w:cs="仿宋_GB2312"/>
                <w:color w:val="000000"/>
                <w:sz w:val="24"/>
              </w:rPr>
              <w:t>5.3</w:t>
            </w:r>
          </w:p>
        </w:tc>
        <w:tc>
          <w:tcPr>
            <w:tcW w:w="1318" w:type="dxa"/>
            <w:vAlign w:val="center"/>
          </w:tcPr>
          <w:p>
            <w:pPr>
              <w:jc w:val="center"/>
              <w:rPr>
                <w:rFonts w:ascii="仿宋_GB2312"/>
                <w:color w:val="000000"/>
                <w:sz w:val="24"/>
              </w:rPr>
            </w:pPr>
            <w:r>
              <w:rPr>
                <w:rFonts w:ascii="仿宋_GB2312" w:cs="仿宋_GB2312"/>
                <w:color w:val="000000"/>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26.</w:t>
            </w:r>
            <w:r>
              <w:rPr>
                <w:rFonts w:hint="eastAsia" w:ascii="仿宋_GB2312" w:eastAsia="仿宋_GB2312" w:cs="仿宋_GB2312"/>
                <w:color w:val="000000"/>
                <w:sz w:val="24"/>
              </w:rPr>
              <w:t>农村常住居民人均可支配收入（</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color w:val="000000"/>
                <w:sz w:val="24"/>
              </w:rPr>
            </w:pPr>
            <w:r>
              <w:rPr>
                <w:color w:val="000000"/>
                <w:sz w:val="24"/>
              </w:rPr>
              <w:t>—</w:t>
            </w:r>
          </w:p>
        </w:tc>
        <w:tc>
          <w:tcPr>
            <w:tcW w:w="1559" w:type="dxa"/>
            <w:vAlign w:val="center"/>
          </w:tcPr>
          <w:p>
            <w:pPr>
              <w:jc w:val="center"/>
              <w:rPr>
                <w:rFonts w:ascii="仿宋_GB2312" w:cs="仿宋_GB2312"/>
                <w:color w:val="000000"/>
                <w:sz w:val="24"/>
              </w:rPr>
            </w:pPr>
            <w:r>
              <w:rPr>
                <w:rFonts w:ascii="仿宋_GB2312" w:cs="仿宋_GB2312"/>
                <w:color w:val="000000"/>
                <w:sz w:val="24"/>
              </w:rPr>
              <w:t>10.5</w:t>
            </w:r>
          </w:p>
        </w:tc>
        <w:tc>
          <w:tcPr>
            <w:tcW w:w="1398" w:type="dxa"/>
            <w:vAlign w:val="center"/>
          </w:tcPr>
          <w:p>
            <w:pPr>
              <w:jc w:val="center"/>
              <w:rPr>
                <w:rFonts w:ascii="仿宋_GB2312"/>
                <w:color w:val="000000"/>
                <w:sz w:val="24"/>
              </w:rPr>
            </w:pPr>
            <w:r>
              <w:rPr>
                <w:rFonts w:ascii="仿宋_GB2312" w:cs="仿宋_GB2312"/>
                <w:color w:val="000000"/>
                <w:sz w:val="24"/>
              </w:rPr>
              <w:t>7.9</w:t>
            </w:r>
          </w:p>
        </w:tc>
        <w:tc>
          <w:tcPr>
            <w:tcW w:w="1318" w:type="dxa"/>
            <w:vAlign w:val="center"/>
          </w:tcPr>
          <w:p>
            <w:pPr>
              <w:jc w:val="center"/>
              <w:rPr>
                <w:rFonts w:ascii="仿宋_GB2312"/>
                <w:color w:val="000000"/>
                <w:sz w:val="24"/>
              </w:rPr>
            </w:pPr>
            <w:r>
              <w:rPr>
                <w:rFonts w:ascii="仿宋_GB2312" w:cs="仿宋_GB2312"/>
                <w:color w:val="00000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27.</w:t>
            </w:r>
            <w:r>
              <w:rPr>
                <w:rFonts w:hint="eastAsia" w:ascii="仿宋_GB2312" w:eastAsia="仿宋_GB2312" w:cs="仿宋_GB2312"/>
                <w:color w:val="000000"/>
                <w:sz w:val="24"/>
              </w:rPr>
              <w:t>城镇登记失业率（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eastAsia="仿宋_GB2312"/>
                <w:color w:val="000000"/>
                <w:sz w:val="24"/>
              </w:rPr>
            </w:pPr>
            <w:r>
              <w:rPr>
                <w:rFonts w:ascii="仿宋_GB2312" w:eastAsia="仿宋_GB2312" w:cs="仿宋_GB2312"/>
                <w:color w:val="000000"/>
                <w:sz w:val="24"/>
              </w:rPr>
              <w:t>3.8</w:t>
            </w:r>
            <w:r>
              <w:rPr>
                <w:rFonts w:hint="eastAsia" w:ascii="仿宋_GB2312" w:eastAsia="仿宋_GB2312" w:cs="仿宋_GB2312"/>
                <w:color w:val="000000"/>
                <w:sz w:val="24"/>
              </w:rPr>
              <w:t>以内</w:t>
            </w:r>
          </w:p>
        </w:tc>
        <w:tc>
          <w:tcPr>
            <w:tcW w:w="1559" w:type="dxa"/>
            <w:vAlign w:val="center"/>
          </w:tcPr>
          <w:p>
            <w:pPr>
              <w:jc w:val="center"/>
              <w:rPr>
                <w:rFonts w:ascii="仿宋_GB2312" w:eastAsia="仿宋_GB2312"/>
                <w:color w:val="000000"/>
                <w:sz w:val="24"/>
              </w:rPr>
            </w:pPr>
            <w:r>
              <w:rPr>
                <w:rFonts w:ascii="仿宋_GB2312" w:eastAsia="仿宋_GB2312"/>
                <w:color w:val="000000"/>
                <w:sz w:val="24"/>
              </w:rPr>
              <w:softHyphen/>
            </w:r>
            <w:r>
              <w:rPr>
                <w:rFonts w:eastAsia="黑体"/>
                <w:color w:val="000000"/>
                <w:sz w:val="24"/>
              </w:rPr>
              <w:t>—</w:t>
            </w:r>
          </w:p>
        </w:tc>
        <w:tc>
          <w:tcPr>
            <w:tcW w:w="1398" w:type="dxa"/>
            <w:vAlign w:val="center"/>
          </w:tcPr>
          <w:p>
            <w:pPr>
              <w:jc w:val="center"/>
              <w:rPr>
                <w:rFonts w:ascii="仿宋_GB2312" w:eastAsia="仿宋_GB2312"/>
                <w:color w:val="000000"/>
                <w:sz w:val="24"/>
              </w:rPr>
            </w:pPr>
            <w:r>
              <w:rPr>
                <w:rFonts w:ascii="仿宋_GB2312" w:eastAsia="仿宋_GB2312" w:cs="仿宋_GB2312"/>
                <w:color w:val="000000"/>
                <w:sz w:val="24"/>
              </w:rPr>
              <w:t>2.79</w:t>
            </w:r>
            <w:r>
              <w:rPr>
                <w:rFonts w:hint="eastAsia" w:ascii="仿宋_GB2312" w:eastAsia="仿宋_GB2312" w:cs="仿宋_GB2312"/>
                <w:color w:val="000000"/>
                <w:sz w:val="24"/>
              </w:rPr>
              <w:t>以内</w:t>
            </w:r>
          </w:p>
        </w:tc>
        <w:tc>
          <w:tcPr>
            <w:tcW w:w="1318" w:type="dxa"/>
            <w:vAlign w:val="center"/>
          </w:tcPr>
          <w:p>
            <w:pPr>
              <w:jc w:val="center"/>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28.</w:t>
            </w:r>
            <w:r>
              <w:rPr>
                <w:rFonts w:hint="eastAsia" w:ascii="仿宋_GB2312" w:eastAsia="仿宋_GB2312" w:cs="仿宋_GB2312"/>
                <w:color w:val="000000"/>
                <w:sz w:val="24"/>
              </w:rPr>
              <w:t>基本养老保险参保人数（人）</w:t>
            </w:r>
          </w:p>
        </w:tc>
        <w:tc>
          <w:tcPr>
            <w:tcW w:w="1560" w:type="dxa"/>
            <w:vAlign w:val="center"/>
          </w:tcPr>
          <w:p>
            <w:pPr>
              <w:jc w:val="center"/>
              <w:rPr>
                <w:rFonts w:ascii="仿宋_GB2312" w:cs="仿宋_GB2312"/>
                <w:color w:val="000000"/>
                <w:sz w:val="24"/>
              </w:rPr>
            </w:pPr>
            <w:r>
              <w:rPr>
                <w:rFonts w:ascii="仿宋_GB2312" w:cs="仿宋_GB2312"/>
                <w:color w:val="000000"/>
                <w:sz w:val="24"/>
              </w:rPr>
              <w:t>187000</w:t>
            </w:r>
          </w:p>
        </w:tc>
        <w:tc>
          <w:tcPr>
            <w:tcW w:w="1559" w:type="dxa"/>
            <w:vAlign w:val="center"/>
          </w:tcPr>
          <w:p>
            <w:pPr>
              <w:jc w:val="center"/>
              <w:rPr>
                <w:rFonts w:ascii="仿宋_GB2312"/>
                <w:color w:val="000000"/>
                <w:sz w:val="24"/>
              </w:rPr>
            </w:pPr>
            <w:r>
              <w:rPr>
                <w:rFonts w:eastAsia="黑体"/>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194587</w:t>
            </w:r>
          </w:p>
        </w:tc>
        <w:tc>
          <w:tcPr>
            <w:tcW w:w="1318" w:type="dxa"/>
            <w:vAlign w:val="center"/>
          </w:tcPr>
          <w:p>
            <w:pPr>
              <w:jc w:val="center"/>
              <w:rPr>
                <w:rFonts w:ascii="仿宋_GB2312"/>
                <w:color w:val="000000"/>
                <w:sz w:val="24"/>
              </w:rPr>
            </w:pPr>
            <w:r>
              <w:rPr>
                <w:rFonts w:eastAsia="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29.</w:t>
            </w:r>
            <w:r>
              <w:rPr>
                <w:rFonts w:hint="eastAsia" w:ascii="仿宋_GB2312" w:eastAsia="仿宋_GB2312" w:cs="仿宋_GB2312"/>
                <w:color w:val="000000"/>
                <w:sz w:val="24"/>
              </w:rPr>
              <w:t>基本医疗参保人数（职工、城镇）（人）</w:t>
            </w:r>
          </w:p>
        </w:tc>
        <w:tc>
          <w:tcPr>
            <w:tcW w:w="1560" w:type="dxa"/>
            <w:vAlign w:val="center"/>
          </w:tcPr>
          <w:p>
            <w:pPr>
              <w:jc w:val="center"/>
              <w:rPr>
                <w:rFonts w:ascii="仿宋_GB2312" w:cs="仿宋_GB2312"/>
                <w:color w:val="000000"/>
                <w:sz w:val="24"/>
              </w:rPr>
            </w:pPr>
            <w:r>
              <w:rPr>
                <w:rFonts w:ascii="仿宋_GB2312" w:cs="仿宋_GB2312"/>
                <w:color w:val="000000"/>
                <w:sz w:val="24"/>
              </w:rPr>
              <w:t>35035</w:t>
            </w:r>
          </w:p>
        </w:tc>
        <w:tc>
          <w:tcPr>
            <w:tcW w:w="1559" w:type="dxa"/>
            <w:vAlign w:val="center"/>
          </w:tcPr>
          <w:p>
            <w:pPr>
              <w:jc w:val="center"/>
              <w:rPr>
                <w:rFonts w:ascii="仿宋_GB2312"/>
                <w:color w:val="000000"/>
                <w:sz w:val="24"/>
              </w:rPr>
            </w:pPr>
            <w:r>
              <w:rPr>
                <w:rFonts w:eastAsia="黑体"/>
                <w:color w:val="000000"/>
                <w:sz w:val="24"/>
              </w:rPr>
              <w:t>—</w:t>
            </w:r>
          </w:p>
        </w:tc>
        <w:tc>
          <w:tcPr>
            <w:tcW w:w="2716" w:type="dxa"/>
            <w:gridSpan w:val="2"/>
            <w:vAlign w:val="center"/>
          </w:tcPr>
          <w:p>
            <w:pPr>
              <w:jc w:val="center"/>
              <w:rPr>
                <w:rFonts w:ascii="仿宋_GB2312" w:eastAsia="仿宋_GB2312"/>
                <w:color w:val="000000"/>
                <w:sz w:val="24"/>
              </w:rPr>
            </w:pPr>
            <w:r>
              <w:rPr>
                <w:rFonts w:hint="eastAsia" w:ascii="仿宋_GB2312" w:eastAsia="仿宋_GB2312" w:cs="仿宋_GB2312"/>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s="仿宋_GB2312"/>
                <w:color w:val="000000"/>
                <w:sz w:val="24"/>
              </w:rPr>
            </w:pPr>
            <w:r>
              <w:rPr>
                <w:rFonts w:ascii="仿宋_GB2312" w:eastAsia="仿宋_GB2312" w:cs="仿宋_GB2312"/>
                <w:color w:val="000000"/>
                <w:sz w:val="24"/>
              </w:rPr>
              <w:t>30.</w:t>
            </w:r>
            <w:r>
              <w:rPr>
                <w:rFonts w:hint="eastAsia" w:ascii="仿宋_GB2312" w:eastAsia="仿宋_GB2312" w:cs="仿宋_GB2312"/>
                <w:color w:val="000000"/>
                <w:sz w:val="24"/>
              </w:rPr>
              <w:t>基本医疗参保人数（农村）</w:t>
            </w:r>
            <w:r>
              <w:rPr>
                <w:rFonts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100</w:t>
            </w:r>
          </w:p>
        </w:tc>
        <w:tc>
          <w:tcPr>
            <w:tcW w:w="1559" w:type="dxa"/>
            <w:vAlign w:val="center"/>
          </w:tcPr>
          <w:p>
            <w:pPr>
              <w:jc w:val="center"/>
              <w:rPr>
                <w:rFonts w:ascii="仿宋_GB2312"/>
                <w:color w:val="000000"/>
                <w:sz w:val="24"/>
              </w:rPr>
            </w:pPr>
            <w:r>
              <w:rPr>
                <w:rFonts w:eastAsia="黑体"/>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100</w:t>
            </w:r>
          </w:p>
        </w:tc>
        <w:tc>
          <w:tcPr>
            <w:tcW w:w="1318" w:type="dxa"/>
            <w:vAlign w:val="center"/>
          </w:tcPr>
          <w:p>
            <w:pPr>
              <w:jc w:val="center"/>
              <w:rPr>
                <w:rFonts w:ascii="仿宋_GB2312"/>
                <w:color w:val="000000"/>
                <w:sz w:val="24"/>
              </w:rPr>
            </w:pPr>
            <w:r>
              <w:rPr>
                <w:rFonts w:eastAsia="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31.</w:t>
            </w:r>
            <w:r>
              <w:rPr>
                <w:rFonts w:hint="eastAsia" w:ascii="仿宋_GB2312" w:eastAsia="仿宋_GB2312" w:cs="仿宋_GB2312"/>
                <w:color w:val="000000"/>
                <w:sz w:val="24"/>
              </w:rPr>
              <w:t>义务教育完成率（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100</w:t>
            </w:r>
          </w:p>
        </w:tc>
        <w:tc>
          <w:tcPr>
            <w:tcW w:w="1559" w:type="dxa"/>
            <w:vAlign w:val="center"/>
          </w:tcPr>
          <w:p>
            <w:pPr>
              <w:jc w:val="center"/>
              <w:rPr>
                <w:color w:val="000000"/>
                <w:sz w:val="24"/>
              </w:rPr>
            </w:pPr>
            <w:r>
              <w:rPr>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100</w:t>
            </w:r>
          </w:p>
        </w:tc>
        <w:tc>
          <w:tcPr>
            <w:tcW w:w="1318" w:type="dxa"/>
            <w:vAlign w:val="center"/>
          </w:tcPr>
          <w:p>
            <w:pPr>
              <w:jc w:val="center"/>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32.</w:t>
            </w:r>
            <w:r>
              <w:rPr>
                <w:rFonts w:hint="eastAsia" w:ascii="仿宋_GB2312" w:eastAsia="仿宋_GB2312" w:cs="仿宋_GB2312"/>
                <w:color w:val="000000"/>
                <w:sz w:val="24"/>
              </w:rPr>
              <w:t>高中阶段教育毛入学率（</w:t>
            </w:r>
            <w:r>
              <w:rPr>
                <w:rFonts w:ascii="仿宋_GB2312" w:eastAsia="仿宋_GB2312" w:cs="仿宋_GB2312"/>
                <w:color w:val="000000"/>
                <w:sz w:val="24"/>
              </w:rPr>
              <w:t>%</w:t>
            </w:r>
            <w:r>
              <w:rPr>
                <w:rFonts w:hint="eastAsia" w:ascii="仿宋_GB2312" w:eastAsia="仿宋_GB2312" w:cs="仿宋_GB2312"/>
                <w:color w:val="000000"/>
                <w:sz w:val="24"/>
              </w:rPr>
              <w:t>）</w:t>
            </w:r>
          </w:p>
        </w:tc>
        <w:tc>
          <w:tcPr>
            <w:tcW w:w="1560" w:type="dxa"/>
            <w:vAlign w:val="center"/>
          </w:tcPr>
          <w:p>
            <w:pPr>
              <w:jc w:val="center"/>
              <w:rPr>
                <w:rFonts w:ascii="仿宋_GB2312" w:cs="仿宋_GB2312"/>
                <w:color w:val="000000"/>
                <w:sz w:val="24"/>
              </w:rPr>
            </w:pPr>
            <w:r>
              <w:rPr>
                <w:rFonts w:ascii="仿宋_GB2312" w:cs="仿宋_GB2312"/>
                <w:color w:val="000000"/>
                <w:sz w:val="24"/>
              </w:rPr>
              <w:t>95</w:t>
            </w:r>
          </w:p>
        </w:tc>
        <w:tc>
          <w:tcPr>
            <w:tcW w:w="1559" w:type="dxa"/>
            <w:vAlign w:val="center"/>
          </w:tcPr>
          <w:p>
            <w:pPr>
              <w:jc w:val="center"/>
              <w:rPr>
                <w:color w:val="000000"/>
                <w:sz w:val="24"/>
              </w:rPr>
            </w:pPr>
            <w:r>
              <w:rPr>
                <w:color w:val="000000"/>
                <w:sz w:val="24"/>
              </w:rPr>
              <w:t>—</w:t>
            </w:r>
          </w:p>
        </w:tc>
        <w:tc>
          <w:tcPr>
            <w:tcW w:w="1398" w:type="dxa"/>
            <w:vAlign w:val="center"/>
          </w:tcPr>
          <w:p>
            <w:pPr>
              <w:jc w:val="center"/>
              <w:rPr>
                <w:rFonts w:ascii="仿宋_GB2312" w:cs="仿宋_GB2312"/>
                <w:color w:val="000000"/>
                <w:sz w:val="24"/>
              </w:rPr>
            </w:pPr>
            <w:r>
              <w:rPr>
                <w:rFonts w:ascii="仿宋_GB2312" w:cs="仿宋_GB2312"/>
                <w:color w:val="000000"/>
                <w:sz w:val="24"/>
              </w:rPr>
              <w:t>96</w:t>
            </w:r>
          </w:p>
        </w:tc>
        <w:tc>
          <w:tcPr>
            <w:tcW w:w="1318" w:type="dxa"/>
            <w:vAlign w:val="center"/>
          </w:tcPr>
          <w:p>
            <w:pPr>
              <w:jc w:val="center"/>
              <w:rPr>
                <w:color w:val="000000"/>
                <w:sz w:val="24"/>
              </w:rPr>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8" w:type="dxa"/>
            <w:vAlign w:val="center"/>
          </w:tcPr>
          <w:p>
            <w:pPr>
              <w:rPr>
                <w:rFonts w:ascii="仿宋_GB2312" w:eastAsia="仿宋_GB2312"/>
                <w:color w:val="000000"/>
                <w:sz w:val="24"/>
              </w:rPr>
            </w:pPr>
            <w:r>
              <w:rPr>
                <w:rFonts w:ascii="仿宋_GB2312" w:eastAsia="仿宋_GB2312" w:cs="仿宋_GB2312"/>
                <w:color w:val="000000"/>
                <w:sz w:val="24"/>
              </w:rPr>
              <w:t>33.</w:t>
            </w:r>
            <w:r>
              <w:rPr>
                <w:rFonts w:hint="eastAsia" w:ascii="仿宋_GB2312" w:eastAsia="仿宋_GB2312" w:cs="仿宋_GB2312"/>
                <w:color w:val="000000"/>
                <w:sz w:val="24"/>
              </w:rPr>
              <w:t>每千名老人拥有养老床位数（张）</w:t>
            </w:r>
          </w:p>
        </w:tc>
        <w:tc>
          <w:tcPr>
            <w:tcW w:w="1560" w:type="dxa"/>
            <w:vAlign w:val="center"/>
          </w:tcPr>
          <w:p>
            <w:pPr>
              <w:jc w:val="center"/>
              <w:rPr>
                <w:rFonts w:ascii="仿宋_GB2312" w:cs="仿宋_GB2312"/>
                <w:color w:val="000000"/>
                <w:sz w:val="24"/>
              </w:rPr>
            </w:pPr>
            <w:r>
              <w:rPr>
                <w:rFonts w:ascii="仿宋_GB2312" w:cs="仿宋_GB2312"/>
                <w:color w:val="000000"/>
                <w:sz w:val="24"/>
              </w:rPr>
              <w:t>45</w:t>
            </w:r>
          </w:p>
        </w:tc>
        <w:tc>
          <w:tcPr>
            <w:tcW w:w="1559" w:type="dxa"/>
            <w:vAlign w:val="center"/>
          </w:tcPr>
          <w:p>
            <w:pPr>
              <w:jc w:val="center"/>
              <w:rPr>
                <w:rFonts w:ascii="仿宋_GB2312"/>
                <w:color w:val="000000"/>
                <w:sz w:val="24"/>
              </w:rPr>
            </w:pPr>
            <w:r>
              <w:rPr>
                <w:rFonts w:eastAsia="黑体"/>
                <w:color w:val="000000"/>
                <w:sz w:val="24"/>
              </w:rPr>
              <w:t>—</w:t>
            </w:r>
          </w:p>
        </w:tc>
        <w:tc>
          <w:tcPr>
            <w:tcW w:w="1398" w:type="dxa"/>
            <w:vAlign w:val="center"/>
          </w:tcPr>
          <w:p>
            <w:pPr>
              <w:jc w:val="center"/>
              <w:rPr>
                <w:rFonts w:ascii="仿宋_GB2312"/>
                <w:color w:val="000000"/>
                <w:sz w:val="24"/>
              </w:rPr>
            </w:pPr>
            <w:r>
              <w:rPr>
                <w:rFonts w:ascii="仿宋_GB2312" w:cs="仿宋_GB2312"/>
                <w:color w:val="000000"/>
                <w:sz w:val="24"/>
              </w:rPr>
              <w:t>45</w:t>
            </w:r>
          </w:p>
        </w:tc>
        <w:tc>
          <w:tcPr>
            <w:tcW w:w="1318" w:type="dxa"/>
            <w:vAlign w:val="center"/>
          </w:tcPr>
          <w:p>
            <w:pPr>
              <w:jc w:val="center"/>
              <w:rPr>
                <w:rFonts w:ascii="仿宋_GB2312"/>
                <w:color w:val="000000"/>
                <w:sz w:val="24"/>
              </w:rPr>
            </w:pPr>
            <w:r>
              <w:rPr>
                <w:rFonts w:eastAsia="黑体"/>
                <w:color w:val="000000"/>
                <w:sz w:val="24"/>
              </w:rPr>
              <w:t>—</w:t>
            </w:r>
          </w:p>
        </w:tc>
      </w:tr>
    </w:tbl>
    <w:p>
      <w:pPr>
        <w:spacing w:line="560" w:lineRule="exact"/>
        <w:rPr>
          <w:rFonts w:ascii="仿宋_GB2312"/>
          <w:color w:val="000000"/>
        </w:rPr>
      </w:pPr>
    </w:p>
    <w:p>
      <w:pPr>
        <w:pStyle w:val="3"/>
        <w:spacing w:beforeLines="0" w:afterLines="0" w:line="560" w:lineRule="exact"/>
        <w:ind w:left="427" w:hanging="427" w:hangingChars="133"/>
        <w:rPr>
          <w:rFonts w:cs="Times New Roman"/>
          <w:color w:val="000000"/>
        </w:rPr>
      </w:pPr>
      <w:bookmarkStart w:id="22" w:name="_Toc72935878"/>
      <w:bookmarkStart w:id="23" w:name="_Toc56416750"/>
      <w:bookmarkStart w:id="24" w:name="_Toc55209018"/>
      <w:bookmarkStart w:id="25" w:name="_Toc55190852"/>
      <w:r>
        <w:rPr>
          <w:rFonts w:hint="eastAsia" w:cs="黑体"/>
          <w:color w:val="000000"/>
        </w:rPr>
        <w:t>“十四五”发展环境</w:t>
      </w:r>
      <w:bookmarkEnd w:id="22"/>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从国际国内形势看，当今世界正经历百年未有之大变局，新一轮科技革命和产业变革深入发展，外部环境日趋复杂严峻，国际环境不稳定性不确定性增加。我国已转向高质量发展阶段，转变发展方式、优化经济结构、转换增长动力，发展仍处于重要战略机遇期，市场空间依然广阔，经济长期向好发展的趋势不会变，以大数据、人工智能、物联网、区块链、</w:t>
      </w:r>
      <w:r>
        <w:rPr>
          <w:rFonts w:ascii="仿宋_GB2312" w:eastAsia="仿宋_GB2312" w:cs="仿宋_GB2312"/>
          <w:color w:val="000000"/>
          <w:sz w:val="32"/>
          <w:szCs w:val="32"/>
        </w:rPr>
        <w:t>5G</w:t>
      </w:r>
      <w:r>
        <w:rPr>
          <w:rFonts w:hint="eastAsia" w:ascii="仿宋_GB2312" w:eastAsia="仿宋_GB2312" w:cs="仿宋_GB2312"/>
          <w:color w:val="000000"/>
          <w:sz w:val="32"/>
          <w:szCs w:val="32"/>
        </w:rPr>
        <w:t>等为代表的数字技术有利于增强休宁经济社会发展支撑，推动传统产业转型升级、发展数字经济等战略性新兴产业，消费升级趋势更加明显，新兴服务业、新业态、新模式不断涌现，生态优先、绿色发展、文化传承成为时代潮流，促进旅游多业融合、加强生态保护，有利于休宁放大优势，加快绿水青山向金山银山转化。</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从省市发展看，在塑造国内大循环为主体、国内国际双循环相互促进的新发展格局背景下，安徽全面推进长三角一体化国家战略落地落实，长三角区域更高质量一体化发展，水清岸绿产业优美丽长江（安徽）经济带建设全面展开，“融杭接沪”更加紧密，杭州都市圈“一脉三区、一主五副、一环六带”网络空间格局基本确立，休宁作为黄山市的重要区县，具有重要的战略节点地位，势必为休宁高水平参与区域分工合作、高质量承接长三角发达地区产业外溢带来新机遇，推动休宁科技、产业、生态协同发展，优质资源和公共服务共建共享，我省市全力打造生态文明建设安徽样板，有利于休宁更好发挥生态优势，探索绿水青山与金山银山有机统一，我省市注重下好创新“先手棋”，着力打造高质量发展新引擎，有利于推进休宁产业转型升级，提高新型工业化水平，推动产业强链、延链、补链，推动徽州文化传承创新发展，我省推进“三大革命”“三大行动”和美丽乡村建设，有利于统筹城乡建设，加速打造国内一流全域旅游目的地、长三角地区重要生态枢纽。</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从休宁环境看，丰富的旅游资源、优良的生态环境、深厚的文化底蕴，随着区域联动和新动能释放，特色资源价值将持续放大，产业发展和实体经济培育取得长足进步，工业发展能级不断提高，农业产业化水平持续提升，服务业集聚发展明显，随着综合立体交通网络不断完善，休宁与杭州都市圈城市的时空距离显著缩短，大大增加了休宁对外交通的便利性，为融杭发展提供了基础保障。经过“十三五”期间经济提质增效、特色优势彰显、民生持续改善，休宁发展基础更加稳固，有利于休宁结合新形势、站在新起点、把握新机遇、谋划新发展。</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同时也必须清醒认识到，我县经济社会发展还面临不少困难和挑战。我县经济总量不高、产业层次较低、发展动能不强、创新驱动不足等发展不平衡不充分的问题依然突出；城乡和区域发展能级不高，城市建设管理仍有不少短板，集镇辐射带动力不强，农业农村基础还比较薄弱；环境要素趋紧，绿水青山向金山银山转化渠道不畅，生态优势转化为发展优势的障碍亟待破解；民生领域还有不少弱项，社会治理的任务依然艰巨。</w:t>
      </w:r>
    </w:p>
    <w:p>
      <w:pPr>
        <w:spacing w:line="560" w:lineRule="exact"/>
        <w:ind w:firstLine="640" w:firstLineChars="200"/>
        <w:rPr>
          <w:rFonts w:ascii="仿宋_GB2312" w:eastAsia="仿宋_GB2312"/>
          <w:color w:val="000000"/>
          <w:sz w:val="30"/>
          <w:szCs w:val="30"/>
        </w:rPr>
      </w:pPr>
      <w:r>
        <w:rPr>
          <w:rFonts w:hint="eastAsia" w:ascii="仿宋_GB2312" w:eastAsia="仿宋_GB2312" w:cs="仿宋_GB2312"/>
          <w:color w:val="000000"/>
          <w:sz w:val="32"/>
          <w:szCs w:val="32"/>
        </w:rPr>
        <w:t>综合研判，“十四五”时期休宁面临诸多风险挑战和不确定性因素，但经济稳中向好、长期向好的基本趋势没有改变。面对新特征新要求、新矛盾新挑战，休宁发展的惯性和潜力仍在，所处的区域环境总体有利，要深入践行新发展理念，增强机遇意识和风险意识，认识和把握发展规律，办好自己的事，抢抓长三角一体化、乡村振兴以及“融杭接沪”等战略带来的新机遇，善于在危机中育先机、于变局中开新局，推动建设生产发展生活富裕生态良好的现代化新休宁。</w:t>
      </w:r>
    </w:p>
    <w:p>
      <w:pPr>
        <w:pStyle w:val="3"/>
        <w:spacing w:before="156" w:after="156" w:line="560" w:lineRule="exact"/>
        <w:ind w:left="426" w:hanging="426"/>
        <w:rPr>
          <w:rFonts w:cs="Times New Roman"/>
          <w:color w:val="000000"/>
        </w:rPr>
      </w:pPr>
      <w:bookmarkStart w:id="26" w:name="_Toc72935879"/>
      <w:r>
        <w:rPr>
          <w:rFonts w:hint="eastAsia" w:cs="黑体"/>
          <w:color w:val="000000"/>
        </w:rPr>
        <w:t>“十四五”发展蓝图</w:t>
      </w:r>
      <w:bookmarkEnd w:id="26"/>
    </w:p>
    <w:p>
      <w:pPr>
        <w:pStyle w:val="4"/>
        <w:spacing w:before="156" w:after="156" w:line="560" w:lineRule="exact"/>
        <w:ind w:left="424" w:hanging="424" w:hangingChars="132"/>
        <w:rPr>
          <w:rFonts w:cs="Times New Roman"/>
          <w:color w:val="000000"/>
        </w:rPr>
      </w:pPr>
      <w:bookmarkStart w:id="27" w:name="_Toc72935880"/>
      <w:r>
        <w:rPr>
          <w:rFonts w:hint="eastAsia" w:cs="楷体"/>
          <w:color w:val="000000"/>
        </w:rPr>
        <w:t>指导思想</w:t>
      </w:r>
      <w:bookmarkEnd w:id="23"/>
      <w:bookmarkEnd w:id="24"/>
      <w:bookmarkEnd w:id="25"/>
      <w:r>
        <w:rPr>
          <w:rFonts w:hint="eastAsia" w:cs="楷体"/>
          <w:color w:val="000000"/>
        </w:rPr>
        <w:t>和基本原则</w:t>
      </w:r>
      <w:bookmarkEnd w:id="2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未来五年是我国全面建成小康社会、实现第一个百年奋斗目标之后，乘势而上开启全面建设社会主义现代化国家新征程、向第二个百年奋斗目标进军的第一个五年。坚持以习近平新时代中国特色社会主义思想为指导，深入贯彻党的十九大和十九届二中、三中、四中、五中全会精神，统筹推进“五位一体”总体布局，协调推进“四个全面”战略布局，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统筹发展和安全，着力建设黄山南部城镇群重要增长极、市中心城市功能拓展承载地、融杭接沪新高地、文旅繁荣兴盛地、践行两山理念样板地、社会和谐安定幸福地，加快建设现代化经济体系，推进治理体系和治理能力现代化，实现经济行稳致远、社会安定和谐，奋力在构建新发展格局中实现更大作为，在加快建设新阶段现代化新休宁上取得新的更大进展。</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根据上述指导思想，重点要把握以下几个原则：</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坚持党的全面领导。</w:t>
      </w:r>
      <w:r>
        <w:rPr>
          <w:rFonts w:hint="eastAsia" w:ascii="仿宋_GB2312" w:eastAsia="仿宋_GB2312" w:cs="仿宋_GB2312"/>
          <w:color w:val="000000"/>
          <w:sz w:val="32"/>
          <w:szCs w:val="32"/>
        </w:rPr>
        <w:t>坚持和完善党领导经济社会发展的体制机制，坚持和完善中国特色社会主义制度，坚决贯彻中央和省委决策部署，不断提高贯彻新发展理念，努力提升新发展格局能力和水平，为现代化新休宁建设提供根本保证。</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坚持以人民为中心。</w:t>
      </w:r>
      <w:r>
        <w:rPr>
          <w:rFonts w:hint="eastAsia" w:ascii="仿宋_GB2312" w:eastAsia="仿宋_GB2312" w:cs="仿宋_GB2312"/>
          <w:color w:val="000000"/>
          <w:sz w:val="32"/>
          <w:szCs w:val="32"/>
        </w:rPr>
        <w:t>坚持共同富裕方向，增进民生福祉，推动解决重点民生问题，坚持教育、科技、文化、体育、医疗卫生、养老等各项社会事业全面发展，推动社会保障覆盖面进一步扩大，不断实现人民对美好生活的向往，改革发展成果更多更公平惠及全体人民。</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坚持新发展理念。</w:t>
      </w:r>
      <w:r>
        <w:rPr>
          <w:rFonts w:hint="eastAsia" w:ascii="仿宋_GB2312" w:eastAsia="仿宋_GB2312" w:cs="仿宋_GB2312"/>
          <w:color w:val="000000"/>
          <w:sz w:val="32"/>
          <w:szCs w:val="32"/>
        </w:rPr>
        <w:t>把新发展理念贯穿发展全过程和各领域，构建新发展格局，加快转变发展方式，推动质量变革、效率变革、动力变革，实现更高质量、更有效率、更加公平、更可持续、更为安全的发展。</w:t>
      </w:r>
    </w:p>
    <w:p>
      <w:pPr>
        <w:spacing w:line="560" w:lineRule="exact"/>
        <w:ind w:firstLine="642" w:firstLineChars="200"/>
        <w:rPr>
          <w:color w:val="000000"/>
          <w:sz w:val="32"/>
          <w:szCs w:val="32"/>
        </w:rPr>
      </w:pPr>
      <w:r>
        <w:rPr>
          <w:rFonts w:hint="eastAsia" w:ascii="楷体" w:hAnsi="楷体" w:eastAsia="楷体" w:cs="楷体"/>
          <w:b/>
          <w:bCs/>
          <w:sz w:val="32"/>
          <w:szCs w:val="32"/>
        </w:rPr>
        <w:t>坚持高质量发展。</w:t>
      </w:r>
      <w:r>
        <w:rPr>
          <w:rFonts w:hint="eastAsia" w:ascii="仿宋_GB2312" w:eastAsia="仿宋_GB2312" w:cs="仿宋_GB2312"/>
          <w:color w:val="000000"/>
          <w:sz w:val="32"/>
          <w:szCs w:val="32"/>
        </w:rPr>
        <w:t>深刻把握阶段性发展的新特征新要求，优化经济结构，转换增长动力，强化创新驱动，实现绿色发展，不断创造适应新需求的有效供给，提升供给质量，在更高水平上实现供给和需求的动态平衡，推动经济保持中高速增长，迈向中高端水平。</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坚持改革开放。</w:t>
      </w:r>
      <w:r>
        <w:rPr>
          <w:rFonts w:hint="eastAsia" w:ascii="仿宋_GB2312" w:eastAsia="仿宋_GB2312" w:cs="仿宋_GB2312"/>
          <w:color w:val="000000"/>
          <w:sz w:val="32"/>
          <w:szCs w:val="32"/>
        </w:rPr>
        <w:t>突出目标导向和问题导向，不断完善重点领域改革，努力破除制约发展的瓶颈与障碍，持续增强发展活力。着力以大开放促进改革创新、破解制约瓶颈、推动产业升级、扩大经济总量、拓展发展空间，全面融入长三角一体化发展，加快“融杭接沪”步伐，在新一轮的开放发展中再创新优势。</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sz w:val="32"/>
          <w:szCs w:val="32"/>
        </w:rPr>
        <w:t>坚持系统观念。</w:t>
      </w:r>
      <w:r>
        <w:rPr>
          <w:rFonts w:hint="eastAsia" w:ascii="仿宋_GB2312" w:eastAsia="仿宋_GB2312" w:cs="仿宋_GB2312"/>
          <w:color w:val="000000"/>
          <w:sz w:val="32"/>
          <w:szCs w:val="32"/>
        </w:rPr>
        <w:t>加强前瞻性思考、全局性谋划、战略性布局、整体性推进，统筹城乡发展，办好发展安全两件大事，坚持全国一盘棋，着力固根基、扬优势、补短板、强弱项，注重防范化解重大风险挑战，实现发展质量、结构、规模、速度、效益、安全相统一。</w:t>
      </w:r>
    </w:p>
    <w:p>
      <w:pPr>
        <w:pStyle w:val="4"/>
        <w:spacing w:before="156" w:after="156" w:line="560" w:lineRule="exact"/>
        <w:ind w:left="424" w:hanging="424" w:hangingChars="132"/>
        <w:rPr>
          <w:rFonts w:cs="Times New Roman"/>
          <w:color w:val="000000"/>
        </w:rPr>
      </w:pPr>
      <w:bookmarkStart w:id="28" w:name="_Toc56416752"/>
      <w:bookmarkStart w:id="29" w:name="_Toc72935881"/>
      <w:bookmarkStart w:id="30" w:name="_Toc55209020"/>
      <w:bookmarkStart w:id="31" w:name="_Toc55190854"/>
      <w:r>
        <w:rPr>
          <w:rFonts w:hint="eastAsia" w:cs="楷体"/>
          <w:color w:val="000000"/>
        </w:rPr>
        <w:t>发展战略</w:t>
      </w:r>
      <w:bookmarkEnd w:id="28"/>
      <w:bookmarkEnd w:id="29"/>
      <w:bookmarkEnd w:id="30"/>
      <w:bookmarkEnd w:id="31"/>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“十四五”时期，休宁要紧扣“高质量”和“一体化”，努力在安徽答好强化“两个坚持”、实现“两个更大”问卷中贡献休宁力量。</w:t>
      </w:r>
    </w:p>
    <w:p>
      <w:pPr>
        <w:spacing w:line="560" w:lineRule="exact"/>
        <w:ind w:firstLine="642" w:firstLineChars="200"/>
        <w:rPr>
          <w:rFonts w:ascii="仿宋_GB2312" w:eastAsia="仿宋_GB2312"/>
          <w:color w:val="000000"/>
          <w:sz w:val="32"/>
          <w:szCs w:val="32"/>
        </w:rPr>
      </w:pPr>
      <w:r>
        <w:rPr>
          <w:rFonts w:ascii="楷体" w:hAnsi="楷体" w:eastAsia="楷体" w:cs="楷体"/>
          <w:b/>
          <w:bCs/>
          <w:sz w:val="32"/>
          <w:szCs w:val="32"/>
        </w:rPr>
        <w:t>——</w:t>
      </w:r>
      <w:r>
        <w:rPr>
          <w:rFonts w:hint="eastAsia" w:ascii="楷体" w:hAnsi="楷体" w:eastAsia="楷体" w:cs="楷体"/>
          <w:b/>
          <w:bCs/>
          <w:sz w:val="32"/>
          <w:szCs w:val="32"/>
        </w:rPr>
        <w:t>生态优先战略。</w:t>
      </w:r>
      <w:r>
        <w:rPr>
          <w:rFonts w:hint="eastAsia" w:ascii="仿宋_GB2312" w:eastAsia="仿宋_GB2312" w:cs="仿宋_GB2312"/>
          <w:color w:val="000000"/>
          <w:sz w:val="32"/>
          <w:szCs w:val="32"/>
        </w:rPr>
        <w:t>坚持把保护生态环境放在第一位，精心呵护青山绿水，不断厚植生态优势，打造国家生态文明先行示范区、长三角重要生态屏障。坚持“产业生态化，生态产业化”理念，打造最能体现“两山”理念的生态带、景观带、产业带，建设具有品牌影响力的绿色产业聚集地。</w:t>
      </w:r>
    </w:p>
    <w:p>
      <w:pPr>
        <w:spacing w:line="560" w:lineRule="exact"/>
        <w:ind w:firstLine="642" w:firstLineChars="200"/>
        <w:rPr>
          <w:rFonts w:ascii="仿宋_GB2312" w:eastAsia="仿宋_GB2312"/>
          <w:color w:val="000000"/>
          <w:sz w:val="32"/>
          <w:szCs w:val="32"/>
        </w:rPr>
      </w:pPr>
      <w:r>
        <w:rPr>
          <w:rFonts w:ascii="楷体" w:hAnsi="楷体" w:eastAsia="楷体" w:cs="楷体"/>
          <w:b/>
          <w:bCs/>
          <w:sz w:val="32"/>
          <w:szCs w:val="32"/>
        </w:rPr>
        <w:t>——</w:t>
      </w:r>
      <w:r>
        <w:rPr>
          <w:rFonts w:hint="eastAsia" w:ascii="楷体" w:hAnsi="楷体" w:eastAsia="楷体" w:cs="楷体"/>
          <w:b/>
          <w:bCs/>
          <w:sz w:val="32"/>
          <w:szCs w:val="32"/>
        </w:rPr>
        <w:t>产业强县战略。</w:t>
      </w:r>
      <w:r>
        <w:rPr>
          <w:rFonts w:hint="eastAsia" w:ascii="仿宋_GB2312" w:eastAsia="仿宋_GB2312" w:cs="仿宋_GB2312"/>
          <w:color w:val="000000"/>
          <w:sz w:val="32"/>
          <w:szCs w:val="32"/>
        </w:rPr>
        <w:t>将产业发展放在更加突出位置，坚定不移推进新型工业化，打造开发区工业发展主战场，不断做大做强智能制造、绿色有机食品加工两大主导产业，优化产业布局，完善功能配套，加快推动休宁赶超发展、跨越崛起。</w:t>
      </w:r>
    </w:p>
    <w:p>
      <w:pPr>
        <w:spacing w:line="560" w:lineRule="exact"/>
        <w:ind w:firstLine="642" w:firstLineChars="200"/>
        <w:rPr>
          <w:rFonts w:ascii="仿宋_GB2312" w:eastAsia="仿宋_GB2312"/>
          <w:color w:val="000000"/>
          <w:sz w:val="32"/>
          <w:szCs w:val="32"/>
        </w:rPr>
      </w:pPr>
      <w:r>
        <w:rPr>
          <w:rFonts w:ascii="楷体" w:hAnsi="楷体" w:eastAsia="楷体" w:cs="楷体"/>
          <w:b/>
          <w:bCs/>
          <w:sz w:val="32"/>
          <w:szCs w:val="32"/>
        </w:rPr>
        <w:t>——</w:t>
      </w:r>
      <w:r>
        <w:rPr>
          <w:rFonts w:hint="eastAsia" w:ascii="楷体" w:hAnsi="楷体" w:eastAsia="楷体" w:cs="楷体"/>
          <w:b/>
          <w:bCs/>
          <w:sz w:val="32"/>
          <w:szCs w:val="32"/>
        </w:rPr>
        <w:t>创新驱动战略。</w:t>
      </w:r>
      <w:r>
        <w:rPr>
          <w:rFonts w:hint="eastAsia" w:ascii="仿宋_GB2312" w:eastAsia="仿宋_GB2312" w:cs="仿宋_GB2312"/>
          <w:color w:val="000000"/>
          <w:sz w:val="32"/>
          <w:szCs w:val="32"/>
        </w:rPr>
        <w:t>坚持以科技创新为支撑，优化创新生态，转变发展思路，强化创新平台建设和创新人才引育，推进经济社会全方位、全领域创新。坚持以区域间的合作共赢促发展、坚持以区域内的优化布局提能级，全面激发高质量发展内生动能。</w:t>
      </w:r>
    </w:p>
    <w:p>
      <w:pPr>
        <w:spacing w:line="560" w:lineRule="exact"/>
        <w:ind w:firstLine="642" w:firstLineChars="200"/>
        <w:rPr>
          <w:rFonts w:ascii="仿宋_GB2312" w:eastAsia="仿宋_GB2312" w:cs="仿宋_GB2312"/>
          <w:color w:val="000000"/>
          <w:sz w:val="32"/>
          <w:szCs w:val="32"/>
        </w:rPr>
      </w:pPr>
      <w:r>
        <w:rPr>
          <w:rFonts w:ascii="楷体" w:hAnsi="楷体" w:eastAsia="楷体" w:cs="楷体"/>
          <w:b/>
          <w:bCs/>
          <w:sz w:val="32"/>
          <w:szCs w:val="32"/>
        </w:rPr>
        <w:t>——</w:t>
      </w:r>
      <w:r>
        <w:rPr>
          <w:rFonts w:hint="eastAsia" w:ascii="楷体" w:hAnsi="楷体" w:eastAsia="楷体" w:cs="楷体"/>
          <w:b/>
          <w:bCs/>
          <w:sz w:val="32"/>
          <w:szCs w:val="32"/>
        </w:rPr>
        <w:t>数字牵引战略。</w:t>
      </w:r>
      <w:r>
        <w:rPr>
          <w:rFonts w:hint="eastAsia" w:ascii="仿宋_GB2312" w:eastAsia="仿宋_GB2312" w:cs="仿宋_GB2312"/>
          <w:color w:val="000000"/>
          <w:sz w:val="32"/>
          <w:szCs w:val="32"/>
        </w:rPr>
        <w:t>完善新一代信息基础设施，强化</w:t>
      </w:r>
      <w:r>
        <w:rPr>
          <w:rFonts w:ascii="仿宋_GB2312" w:eastAsia="仿宋_GB2312" w:cs="仿宋_GB2312"/>
          <w:color w:val="000000"/>
          <w:sz w:val="32"/>
          <w:szCs w:val="32"/>
        </w:rPr>
        <w:t>5G</w:t>
      </w:r>
      <w:r>
        <w:rPr>
          <w:rFonts w:hint="eastAsia" w:ascii="仿宋_GB2312" w:eastAsia="仿宋_GB2312" w:cs="仿宋_GB2312"/>
          <w:color w:val="000000"/>
          <w:sz w:val="32"/>
          <w:szCs w:val="32"/>
        </w:rPr>
        <w:t>、互联网、大数据、云计算等技术运用，推动工业主导产业数字化转型、现代农业赋能增值和旅游服务业提质扩容。加快数字政府、智慧政务、智慧社区等建设，推动社会治理能力现代化。</w:t>
      </w:r>
      <w:r>
        <w:rPr>
          <w:rFonts w:ascii="仿宋_GB2312" w:eastAsia="仿宋_GB2312" w:cs="仿宋_GB2312"/>
          <w:color w:val="000000"/>
          <w:sz w:val="32"/>
          <w:szCs w:val="32"/>
        </w:rPr>
        <w:t xml:space="preserve"> </w:t>
      </w:r>
    </w:p>
    <w:p>
      <w:pPr>
        <w:spacing w:line="560" w:lineRule="exact"/>
        <w:ind w:firstLine="642" w:firstLineChars="200"/>
        <w:rPr>
          <w:rFonts w:ascii="仿宋_GB2312" w:eastAsia="仿宋_GB2312" w:cs="仿宋_GB2312"/>
          <w:color w:val="000000"/>
          <w:sz w:val="32"/>
          <w:szCs w:val="32"/>
        </w:rPr>
      </w:pPr>
      <w:r>
        <w:rPr>
          <w:rFonts w:ascii="楷体" w:hAnsi="楷体" w:eastAsia="楷体" w:cs="楷体"/>
          <w:b/>
          <w:bCs/>
          <w:sz w:val="32"/>
          <w:szCs w:val="32"/>
        </w:rPr>
        <w:t>——</w:t>
      </w:r>
      <w:r>
        <w:rPr>
          <w:rFonts w:hint="eastAsia" w:ascii="楷体" w:hAnsi="楷体" w:eastAsia="楷体" w:cs="楷体"/>
          <w:b/>
          <w:bCs/>
          <w:sz w:val="32"/>
          <w:szCs w:val="32"/>
        </w:rPr>
        <w:t>开放融合战略。</w:t>
      </w:r>
      <w:r>
        <w:rPr>
          <w:rFonts w:hint="eastAsia" w:ascii="仿宋_GB2312" w:eastAsia="仿宋_GB2312" w:cs="仿宋_GB2312"/>
          <w:color w:val="000000"/>
          <w:sz w:val="32"/>
          <w:szCs w:val="32"/>
        </w:rPr>
        <w:t>高水平参与长三角一体化发展，积极培育发展开放合作新平台、新领域、新模式，提升在区域发展格局中的位势能级。加快产业一体化、旅游国际化进程，建设更高水平的开放型经济，加快形成对内对外联动的开放新格局。</w:t>
      </w:r>
      <w:r>
        <w:rPr>
          <w:rFonts w:ascii="仿宋_GB2312" w:eastAsia="仿宋_GB2312" w:cs="仿宋_GB2312"/>
          <w:color w:val="000000"/>
          <w:sz w:val="32"/>
          <w:szCs w:val="32"/>
        </w:rPr>
        <w:t xml:space="preserve"> </w:t>
      </w:r>
    </w:p>
    <w:p>
      <w:pPr>
        <w:spacing w:line="560" w:lineRule="exact"/>
        <w:ind w:firstLine="642" w:firstLineChars="200"/>
        <w:rPr>
          <w:rFonts w:ascii="仿宋_GB2312" w:eastAsia="仿宋_GB2312"/>
          <w:color w:val="000000"/>
          <w:sz w:val="30"/>
          <w:szCs w:val="30"/>
        </w:rPr>
      </w:pPr>
      <w:r>
        <w:rPr>
          <w:rFonts w:ascii="楷体" w:hAnsi="楷体" w:eastAsia="楷体" w:cs="楷体"/>
          <w:b/>
          <w:bCs/>
          <w:sz w:val="32"/>
          <w:szCs w:val="32"/>
        </w:rPr>
        <w:t>——</w:t>
      </w:r>
      <w:r>
        <w:rPr>
          <w:rFonts w:hint="eastAsia" w:ascii="楷体" w:hAnsi="楷体" w:eastAsia="楷体" w:cs="楷体"/>
          <w:b/>
          <w:bCs/>
          <w:sz w:val="32"/>
          <w:szCs w:val="32"/>
        </w:rPr>
        <w:t>民生为本战略。</w:t>
      </w:r>
      <w:r>
        <w:rPr>
          <w:rFonts w:hint="eastAsia" w:ascii="仿宋_GB2312" w:eastAsia="仿宋_GB2312" w:cs="仿宋_GB2312"/>
          <w:color w:val="000000"/>
          <w:sz w:val="32"/>
          <w:szCs w:val="32"/>
        </w:rPr>
        <w:t>坚持以人民为中心的发展思想，巩固提升脱贫质量，把实现更充分更高质量就业和完善可持续的社会保障体系放在重要位置，健全完善基本公共服务体系，增加优质公共服务供给，完善统筹城乡的民生保障制度，加强社会治理现代化，使改革发展成果更多更公平惠及休宁人民。</w:t>
      </w:r>
    </w:p>
    <w:p>
      <w:pPr>
        <w:pStyle w:val="4"/>
        <w:spacing w:before="156" w:after="156" w:line="560" w:lineRule="exact"/>
        <w:ind w:left="424" w:hanging="424" w:hangingChars="132"/>
        <w:rPr>
          <w:rFonts w:cs="Times New Roman"/>
          <w:color w:val="000000"/>
        </w:rPr>
      </w:pPr>
      <w:bookmarkStart w:id="32" w:name="_Toc72935882"/>
      <w:r>
        <w:rPr>
          <w:rFonts w:hint="eastAsia" w:cs="楷体"/>
          <w:color w:val="000000"/>
        </w:rPr>
        <w:t>发展定位</w:t>
      </w:r>
      <w:bookmarkEnd w:id="32"/>
    </w:p>
    <w:p>
      <w:pPr>
        <w:spacing w:line="560" w:lineRule="exact"/>
        <w:ind w:firstLine="640" w:firstLineChars="200"/>
        <w:rPr>
          <w:rFonts w:ascii="楷体" w:hAnsi="楷体" w:eastAsia="楷体"/>
          <w:b/>
          <w:bCs/>
          <w:sz w:val="32"/>
          <w:szCs w:val="32"/>
        </w:rPr>
      </w:pPr>
      <w:r>
        <w:rPr>
          <w:rFonts w:hint="eastAsia" w:ascii="仿宋_GB2312" w:eastAsia="仿宋_GB2312" w:cs="仿宋_GB2312"/>
          <w:color w:val="000000"/>
          <w:sz w:val="32"/>
          <w:szCs w:val="32"/>
        </w:rPr>
        <w:t>“十四五”时期，休宁发展进入全面提速扩容增质的新阶段，在推动高质量发展上立足基本县情，积极应对风险挑战，加快实现更高质量、更有效率、更加公平、更可持续、更为安全的发展，努力建成</w:t>
      </w:r>
      <w:r>
        <w:rPr>
          <w:rFonts w:hint="eastAsia" w:ascii="楷体" w:hAnsi="楷体" w:eastAsia="楷体" w:cs="楷体"/>
          <w:b/>
          <w:bCs/>
          <w:sz w:val="32"/>
          <w:szCs w:val="32"/>
        </w:rPr>
        <w:t>“一极五地”。</w:t>
      </w:r>
    </w:p>
    <w:p>
      <w:pPr>
        <w:spacing w:line="560" w:lineRule="exact"/>
        <w:ind w:firstLine="642" w:firstLineChars="200"/>
        <w:rPr>
          <w:sz w:val="32"/>
          <w:szCs w:val="32"/>
        </w:rPr>
      </w:pPr>
      <w:r>
        <w:rPr>
          <w:rFonts w:hint="eastAsia" w:ascii="楷体" w:hAnsi="楷体" w:eastAsia="楷体" w:cs="楷体"/>
          <w:b/>
          <w:bCs/>
          <w:sz w:val="32"/>
          <w:szCs w:val="32"/>
        </w:rPr>
        <w:t>聚焦创新驱动，加快建设黄山南部城镇群重要增长极。</w:t>
      </w:r>
      <w:r>
        <w:rPr>
          <w:rFonts w:hint="eastAsia" w:ascii="仿宋_GB2312" w:hAnsi="楷体" w:eastAsia="仿宋_GB2312" w:cs="仿宋_GB2312"/>
          <w:sz w:val="32"/>
          <w:szCs w:val="32"/>
        </w:rPr>
        <w:t>深入</w:t>
      </w:r>
      <w:r>
        <w:rPr>
          <w:rFonts w:hint="eastAsia" w:ascii="仿宋_GB2312" w:eastAsia="仿宋_GB2312" w:cs="仿宋_GB2312"/>
          <w:color w:val="000000"/>
          <w:sz w:val="32"/>
          <w:szCs w:val="32"/>
        </w:rPr>
        <w:t>实施创新驱动战略，强化企业创新主体地位；大力培育现代产业，促进农业、制造业、服务业等产业门类关系协调；着力促进实体经济发展，更大力度优化营商环境；大力发展数字经济，推进数字产业化、产业数字化；积极扩大消费，鼓励消费新模式新业态。</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聚焦区域协调，</w:t>
      </w:r>
      <w:bookmarkStart w:id="33" w:name="_Hlk57035423"/>
      <w:r>
        <w:rPr>
          <w:rFonts w:hint="eastAsia" w:ascii="楷体" w:hAnsi="楷体" w:eastAsia="楷体" w:cs="楷体"/>
          <w:b/>
          <w:bCs/>
          <w:sz w:val="32"/>
          <w:szCs w:val="32"/>
        </w:rPr>
        <w:t>加快建设市中心城市功能拓展承载地</w:t>
      </w:r>
      <w:bookmarkEnd w:id="33"/>
      <w:r>
        <w:rPr>
          <w:rFonts w:hint="eastAsia" w:ascii="楷体" w:hAnsi="楷体" w:eastAsia="楷体" w:cs="楷体"/>
          <w:b/>
          <w:bCs/>
          <w:sz w:val="32"/>
          <w:szCs w:val="32"/>
        </w:rPr>
        <w:t>。</w:t>
      </w:r>
      <w:r>
        <w:rPr>
          <w:rFonts w:hint="eastAsia" w:ascii="仿宋_GB2312" w:eastAsia="仿宋_GB2312" w:cs="仿宋_GB2312"/>
          <w:color w:val="000000"/>
          <w:sz w:val="32"/>
          <w:szCs w:val="32"/>
        </w:rPr>
        <w:t>推进“休屯同城”步伐，做好规划对接、政务互通、基础设施互联、社会治理联动等工作；持续扩大有效投入，着力提高项目开工率、竣工率、达产率和转换率；加快布局新型基础设施，强力推动数字休宁建设；推进以人为核心的新型城镇化，提升城市发展能级；深入实施乡村振兴战略，实施乡村建设行动。</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聚焦改革开放，加快建设融杭接沪新高地。</w:t>
      </w:r>
      <w:r>
        <w:rPr>
          <w:rFonts w:hint="eastAsia" w:ascii="仿宋_GB2312" w:eastAsia="仿宋_GB2312" w:cs="仿宋_GB2312"/>
          <w:color w:val="000000"/>
          <w:sz w:val="32"/>
          <w:szCs w:val="32"/>
        </w:rPr>
        <w:t>深化重点领域改革，激发市场活力；紧扣“一体化”和“高质量”，积极落实区域协同发展战略；持续深化对外开放，全面提升休宁知名度和经济外向度；全面扩大招商引资，着力引进行业龙头企业和重大项目，补齐产业链。</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聚焦文化优势，加快建设文旅繁荣兴盛地。</w:t>
      </w:r>
      <w:r>
        <w:rPr>
          <w:rFonts w:hint="eastAsia" w:ascii="仿宋_GB2312" w:eastAsia="仿宋_GB2312" w:cs="仿宋_GB2312"/>
          <w:color w:val="000000"/>
          <w:sz w:val="32"/>
          <w:szCs w:val="32"/>
        </w:rPr>
        <w:t>提高社会文明程度，推动物质文明和精神文明协调发展；深入实施文化惠民工程，推动公共文化发展；加强历史文化保护，传承历史文脉；加快文化产业培育，扩大文化产品供给；推进文旅融合发展，构建文化与旅游深度融合新模式。</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sz w:val="32"/>
          <w:szCs w:val="32"/>
        </w:rPr>
        <w:t>聚焦绿色发展，加快建设两山理念样板地。</w:t>
      </w:r>
      <w:r>
        <w:rPr>
          <w:rFonts w:hint="eastAsia" w:ascii="仿宋_GB2312" w:hAnsi="楷体" w:eastAsia="仿宋_GB2312" w:cs="仿宋_GB2312"/>
          <w:sz w:val="32"/>
          <w:szCs w:val="32"/>
        </w:rPr>
        <w:t>强化国土空间规划和用途管控，</w:t>
      </w:r>
      <w:r>
        <w:rPr>
          <w:rFonts w:hint="eastAsia" w:ascii="仿宋_GB2312" w:eastAsia="仿宋_GB2312" w:cs="仿宋_GB2312"/>
          <w:color w:val="000000"/>
          <w:sz w:val="32"/>
          <w:szCs w:val="32"/>
        </w:rPr>
        <w:t>构建国土空间开发保护新格局；加强生态系统保护，筑牢新安江源头生态屏障；打赢污染防治攻坚战，确保生态环境质量持续提升；深入开展生态文明建设“六大行动”，健全生态文明建设体系；大力发展特色经济，推动生态资源转化。</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sz w:val="32"/>
          <w:szCs w:val="32"/>
        </w:rPr>
        <w:t>聚焦民生福祉，加快建设和谐安定幸福地。</w:t>
      </w:r>
      <w:r>
        <w:rPr>
          <w:rFonts w:hint="eastAsia" w:ascii="仿宋_GB2312" w:eastAsia="仿宋_GB2312" w:cs="仿宋_GB2312"/>
          <w:color w:val="000000"/>
          <w:sz w:val="32"/>
          <w:szCs w:val="32"/>
        </w:rPr>
        <w:t>全力保障基本民生，提高人民收入水平；健全多层次社会保障体系，完善基本养老、基本医疗等体制机制；平稳转型脱贫攻坚，实现乡村振兴与脱贫攻坚有效衔接；推进县域社会治理现代化，推动自治、法治、德治“三治”融合；践行</w:t>
      </w:r>
      <w:r>
        <w:rPr>
          <w:rFonts w:hint="default" w:ascii="仿宋_GB2312" w:eastAsia="仿宋_GB2312" w:cs="仿宋_GB2312"/>
          <w:color w:val="000000"/>
          <w:sz w:val="32"/>
          <w:szCs w:val="32"/>
          <w:lang w:val="en"/>
        </w:rPr>
        <w:t>总体国家安全观</w:t>
      </w:r>
      <w:r>
        <w:rPr>
          <w:rFonts w:hint="eastAsia" w:ascii="仿宋_GB2312" w:eastAsia="仿宋_GB2312" w:cs="仿宋_GB2312"/>
          <w:color w:val="000000"/>
          <w:sz w:val="32"/>
          <w:szCs w:val="32"/>
        </w:rPr>
        <w:t>，建设更高水平平安休宁。</w:t>
      </w:r>
    </w:p>
    <w:p>
      <w:pPr>
        <w:pStyle w:val="4"/>
        <w:spacing w:before="156" w:after="156" w:line="560" w:lineRule="exact"/>
        <w:ind w:left="424" w:hanging="424" w:hangingChars="132"/>
        <w:rPr>
          <w:rFonts w:cs="Times New Roman"/>
          <w:color w:val="000000"/>
        </w:rPr>
      </w:pPr>
      <w:bookmarkStart w:id="34" w:name="_Toc72935883"/>
      <w:bookmarkStart w:id="35" w:name="_Toc55209021"/>
      <w:bookmarkStart w:id="36" w:name="_Toc56416753"/>
      <w:bookmarkStart w:id="37" w:name="_Toc55190855"/>
      <w:r>
        <w:rPr>
          <w:rFonts w:hint="eastAsia" w:cs="楷体"/>
          <w:color w:val="000000"/>
        </w:rPr>
        <w:t>主要目标</w:t>
      </w:r>
      <w:bookmarkEnd w:id="34"/>
      <w:bookmarkEnd w:id="35"/>
      <w:bookmarkEnd w:id="36"/>
      <w:bookmarkEnd w:id="37"/>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二〇三五年远景目标。</w:t>
      </w:r>
      <w:r>
        <w:rPr>
          <w:rFonts w:hint="eastAsia" w:ascii="仿宋_GB2312" w:eastAsia="仿宋_GB2312" w:cs="仿宋_GB2312"/>
          <w:color w:val="000000"/>
          <w:sz w:val="32"/>
          <w:szCs w:val="32"/>
        </w:rPr>
        <w:t>根据党的十九大对实现第二个百年奋斗目标作出分两个阶段推进的战略安排，按照省委“一建设三同步”决策部署，展望二</w:t>
      </w:r>
      <w:r>
        <w:rPr>
          <w:rFonts w:hint="eastAsia" w:ascii="微软雅黑" w:hAnsi="微软雅黑" w:eastAsia="微软雅黑" w:cs="微软雅黑"/>
          <w:color w:val="000000"/>
          <w:sz w:val="32"/>
          <w:szCs w:val="32"/>
        </w:rPr>
        <w:t>〇</w:t>
      </w:r>
      <w:r>
        <w:rPr>
          <w:rFonts w:hint="eastAsia" w:ascii="仿宋_GB2312" w:hAnsi="仿宋_GB2312" w:eastAsia="仿宋_GB2312" w:cs="仿宋_GB2312"/>
          <w:color w:val="000000"/>
          <w:sz w:val="32"/>
          <w:szCs w:val="32"/>
        </w:rPr>
        <w:t>三五年，我县经济实力、科技实力、综合实力将大幅跃升，经济总量和城乡居民人均收入将再迈上新的大台阶，关键核心技术实现重大突破；基本实现新型工业化、信息化、城镇化、农业现代化，建成</w:t>
      </w:r>
      <w:r>
        <w:rPr>
          <w:rFonts w:hint="eastAsia" w:ascii="仿宋_GB2312" w:eastAsia="仿宋_GB2312" w:cs="仿宋_GB2312"/>
          <w:color w:val="000000"/>
          <w:sz w:val="32"/>
          <w:szCs w:val="32"/>
        </w:rPr>
        <w:t>现代化经济体系；基本实现县域治理体系和治理能力现代化，人民平等参与、平等发展权利得到充分保障，基本建成法治休宁、法治政府、法治社会；建成文化强县、教育强县、人才强县、体育强县、健康休宁，国民素质和社会文明程度达到新高度，文化软实力显著增强；广泛形成绿色生产生活方式，碳排放达峰后稳中有降，生态环境保持全国前列；形成对外开放新格局，参与区域经济合作和竞争新优势明显增强；人均地区生产总值保持全省同类县领先水平，中等收入群体显著扩大，基本公共服务实现均等化，城乡区域发展差距和居民生活水平差距显著缩小；平安休宁建设达到更高水平；人民生活更加美好，人的全面发展、全体人民共同富裕取得更为明显的实质性进展。</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锚定二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w:t>
      </w:r>
      <w:r>
        <w:rPr>
          <w:rFonts w:hint="eastAsia" w:ascii="仿宋_GB2312" w:eastAsia="仿宋_GB2312" w:cs="仿宋_GB2312"/>
          <w:color w:val="000000"/>
          <w:sz w:val="32"/>
          <w:szCs w:val="32"/>
        </w:rPr>
        <w:t>，综合考虑周边发展趋势和我县发展条件，根据县委十四届十二次全会精神，“十四五”期间，确保“一个领先、一个快于、一个前列”，即人均</w:t>
      </w:r>
      <w:r>
        <w:rPr>
          <w:rFonts w:ascii="仿宋_GB2312" w:eastAsia="仿宋_GB2312" w:cs="仿宋_GB2312"/>
          <w:color w:val="000000"/>
          <w:sz w:val="32"/>
          <w:szCs w:val="32"/>
        </w:rPr>
        <w:t>GDP</w:t>
      </w:r>
      <w:r>
        <w:rPr>
          <w:rFonts w:hint="eastAsia" w:ascii="仿宋_GB2312" w:eastAsia="仿宋_GB2312" w:cs="仿宋_GB2312"/>
          <w:color w:val="000000"/>
          <w:sz w:val="32"/>
          <w:szCs w:val="32"/>
        </w:rPr>
        <w:t>保持全省同类县领先水平，主要经济指标增幅快于长三角地区平均水平，主要社会生态指标走在全国前列。</w:t>
      </w:r>
    </w:p>
    <w:p>
      <w:pPr>
        <w:spacing w:line="560" w:lineRule="exact"/>
        <w:ind w:firstLine="642" w:firstLineChars="200"/>
        <w:rPr>
          <w:rFonts w:ascii="仿宋_GB2312"/>
          <w:color w:val="000000"/>
          <w:sz w:val="32"/>
          <w:szCs w:val="32"/>
        </w:rPr>
      </w:pPr>
      <w:r>
        <w:rPr>
          <w:rFonts w:hint="eastAsia" w:ascii="楷体" w:hAnsi="楷体" w:eastAsia="楷体" w:cs="楷体"/>
          <w:b/>
          <w:bCs/>
          <w:sz w:val="32"/>
          <w:szCs w:val="32"/>
        </w:rPr>
        <w:t>经济发展实现更大进展。</w:t>
      </w:r>
      <w:r>
        <w:rPr>
          <w:rFonts w:hint="eastAsia" w:ascii="仿宋_GB2312" w:eastAsia="仿宋_GB2312" w:cs="仿宋_GB2312"/>
          <w:color w:val="000000"/>
          <w:sz w:val="32"/>
          <w:szCs w:val="32"/>
        </w:rPr>
        <w:t>在质量效益明显提升的基础上实现经济持续健康发展，增长潜力充分发挥，经济结构更加优化，创新能力显著提升，产业基础高级化、产业链现代化水平明显提高，农业基础更加稳固，城乡区域发展协调性明显增强，现代化经济体系建设取得重大进展。</w:t>
      </w:r>
    </w:p>
    <w:p>
      <w:pPr>
        <w:spacing w:line="560" w:lineRule="exact"/>
        <w:ind w:firstLine="642" w:firstLineChars="200"/>
        <w:rPr>
          <w:rFonts w:ascii="楷体" w:hAnsi="楷体" w:eastAsia="楷体"/>
          <w:b/>
          <w:bCs/>
          <w:sz w:val="32"/>
          <w:szCs w:val="32"/>
        </w:rPr>
      </w:pPr>
      <w:r>
        <w:rPr>
          <w:rFonts w:hint="eastAsia" w:ascii="楷体" w:hAnsi="楷体" w:eastAsia="楷体" w:cs="楷体"/>
          <w:b/>
          <w:bCs/>
          <w:sz w:val="32"/>
          <w:szCs w:val="32"/>
        </w:rPr>
        <w:t>改革开放实现更大突破。</w:t>
      </w:r>
      <w:r>
        <w:rPr>
          <w:rFonts w:hint="eastAsia" w:ascii="仿宋_GB2312" w:hAnsi="楷体" w:eastAsia="仿宋_GB2312" w:cs="仿宋_GB2312"/>
          <w:sz w:val="32"/>
          <w:szCs w:val="32"/>
        </w:rPr>
        <w:t>社会主义市场经济体制更加完善，高标准市场体系基本建成，市场主体更加充满活力，产权制度改革和要素市场化配置改革取得重大进展，公平竞争制度更加健全，更高水平开放型经济新体制基本形成。</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社会文明实现更大提高。</w:t>
      </w:r>
      <w:r>
        <w:rPr>
          <w:rFonts w:hint="eastAsia" w:ascii="仿宋_GB2312" w:eastAsia="仿宋_GB2312" w:cs="仿宋_GB2312"/>
          <w:color w:val="000000"/>
          <w:sz w:val="32"/>
          <w:szCs w:val="32"/>
        </w:rPr>
        <w:t>社会主义核心价值观深入人心，人民思想道德素质、科学文化素质和身心健康素质明显提高，公共文化服务体系和文化产业体系更加健全，人民精神文化生活日益丰富，文化影响力进一步提升。</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生态文明实现更大进步。</w:t>
      </w:r>
      <w:r>
        <w:rPr>
          <w:rFonts w:hint="eastAsia" w:ascii="仿宋_GB2312" w:eastAsia="仿宋_GB2312" w:cs="仿宋_GB2312"/>
          <w:color w:val="000000"/>
          <w:sz w:val="32"/>
          <w:szCs w:val="32"/>
        </w:rPr>
        <w:t>国土空间开发保护格局得到优化，生产生活方式绿色转型成效显著，能源资源配置更加合理、利用效率大幅提高，主要污染物排放总量持续减少，生态环境持续改善，生态安全屏障更加牢固，城乡人居环境明显改善。</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人民生活实现更大改善。</w:t>
      </w:r>
      <w:r>
        <w:rPr>
          <w:rFonts w:hint="eastAsia" w:ascii="仿宋_GB2312" w:eastAsia="仿宋_GB2312" w:cs="仿宋_GB2312"/>
          <w:color w:val="000000"/>
          <w:sz w:val="32"/>
          <w:szCs w:val="32"/>
        </w:rPr>
        <w:t>实现更加充分更高质量就业，居民收入增长和经济增长基本同步，分配结构明显改善，基本公共服务均等化水平明显提高，人民受教育程度不断提升，多层次社会保障体系更加健全，卫生健康体系更加完善，脱贫攻坚成果巩固拓展，乡村振兴战略全面推进。</w:t>
      </w:r>
    </w:p>
    <w:p>
      <w:pPr>
        <w:spacing w:afterLines="100"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治理效能实现更大提升。</w:t>
      </w:r>
      <w:r>
        <w:rPr>
          <w:rFonts w:hint="eastAsia" w:ascii="仿宋_GB2312" w:eastAsia="仿宋_GB2312" w:cs="仿宋_GB2312"/>
          <w:color w:val="000000"/>
          <w:sz w:val="32"/>
          <w:szCs w:val="32"/>
        </w:rPr>
        <w:t>社会主义民主法治更加健全，社会公平正义进一步彰显，行政体系更加完善，政府作用更好发挥，行政效率和公信力显著提升，基层治理水平明显提高，防范化解重大风险体制机制不断健全，突发公共事件应急能力显著增强，自然灾害防御水平明显提升，发展安全保障更加有力。</w:t>
      </w:r>
    </w:p>
    <w:p>
      <w:pPr>
        <w:pStyle w:val="5"/>
        <w:spacing w:line="560" w:lineRule="exact"/>
        <w:jc w:val="center"/>
        <w:rPr>
          <w:rStyle w:val="21"/>
          <w:rFonts w:ascii="黑体" w:hAnsi="黑体" w:eastAsia="黑体" w:cs="Times New Roman"/>
          <w:b w:val="0"/>
          <w:bCs w:val="0"/>
          <w:color w:val="000000"/>
          <w:sz w:val="28"/>
          <w:szCs w:val="28"/>
        </w:rPr>
      </w:pPr>
      <w:r>
        <w:rPr>
          <w:rStyle w:val="21"/>
          <w:rFonts w:hint="eastAsia" w:ascii="黑体" w:hAnsi="黑体" w:eastAsia="黑体" w:cs="黑体"/>
          <w:b w:val="0"/>
          <w:bCs w:val="0"/>
          <w:color w:val="000000"/>
          <w:sz w:val="28"/>
          <w:szCs w:val="28"/>
        </w:rPr>
        <w:t>“十四五”期间经济社会发展的主要目标</w:t>
      </w:r>
    </w:p>
    <w:tbl>
      <w:tblPr>
        <w:tblStyle w:val="13"/>
        <w:tblW w:w="91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78"/>
        <w:gridCol w:w="3084"/>
        <w:gridCol w:w="1452"/>
        <w:gridCol w:w="1134"/>
        <w:gridCol w:w="99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6" w:type="dxa"/>
            <w:vAlign w:val="center"/>
          </w:tcPr>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类型</w:t>
            </w:r>
          </w:p>
        </w:tc>
        <w:tc>
          <w:tcPr>
            <w:tcW w:w="778" w:type="dxa"/>
            <w:vAlign w:val="center"/>
          </w:tcPr>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序号</w:t>
            </w:r>
          </w:p>
        </w:tc>
        <w:tc>
          <w:tcPr>
            <w:tcW w:w="3084" w:type="dxa"/>
            <w:vAlign w:val="center"/>
          </w:tcPr>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指标</w:t>
            </w:r>
          </w:p>
        </w:tc>
        <w:tc>
          <w:tcPr>
            <w:tcW w:w="1452" w:type="dxa"/>
            <w:vAlign w:val="center"/>
          </w:tcPr>
          <w:p>
            <w:pPr>
              <w:widowControl/>
              <w:jc w:val="center"/>
              <w:rPr>
                <w:rFonts w:ascii="黑体" w:hAnsi="黑体" w:eastAsia="黑体"/>
                <w:b/>
                <w:bCs/>
                <w:color w:val="000000"/>
                <w:kern w:val="0"/>
                <w:sz w:val="24"/>
              </w:rPr>
            </w:pPr>
            <w:r>
              <w:rPr>
                <w:rFonts w:ascii="黑体" w:hAnsi="黑体" w:eastAsia="黑体" w:cs="黑体"/>
                <w:b/>
                <w:bCs/>
                <w:color w:val="000000"/>
                <w:kern w:val="0"/>
                <w:sz w:val="24"/>
              </w:rPr>
              <w:t>2020</w:t>
            </w:r>
            <w:r>
              <w:rPr>
                <w:rFonts w:hint="eastAsia" w:ascii="黑体" w:hAnsi="黑体" w:eastAsia="黑体" w:cs="黑体"/>
                <w:b/>
                <w:bCs/>
                <w:color w:val="000000"/>
                <w:kern w:val="0"/>
                <w:sz w:val="24"/>
              </w:rPr>
              <w:t>年</w:t>
            </w:r>
          </w:p>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（含预值）</w:t>
            </w:r>
          </w:p>
        </w:tc>
        <w:tc>
          <w:tcPr>
            <w:tcW w:w="1134" w:type="dxa"/>
            <w:vAlign w:val="center"/>
          </w:tcPr>
          <w:p>
            <w:pPr>
              <w:widowControl/>
              <w:jc w:val="center"/>
              <w:rPr>
                <w:rFonts w:ascii="黑体" w:hAnsi="黑体" w:eastAsia="黑体" w:cs="黑体"/>
                <w:b/>
                <w:bCs/>
                <w:color w:val="000000"/>
                <w:kern w:val="0"/>
                <w:sz w:val="24"/>
              </w:rPr>
            </w:pPr>
            <w:r>
              <w:rPr>
                <w:rFonts w:ascii="黑体" w:hAnsi="黑体" w:eastAsia="黑体" w:cs="黑体"/>
                <w:b/>
                <w:bCs/>
                <w:color w:val="000000"/>
                <w:kern w:val="0"/>
                <w:sz w:val="24"/>
              </w:rPr>
              <w:t>2025</w:t>
            </w:r>
            <w:r>
              <w:rPr>
                <w:rFonts w:hint="eastAsia" w:ascii="黑体" w:hAnsi="黑体" w:eastAsia="黑体" w:cs="黑体"/>
                <w:b/>
                <w:bCs/>
                <w:color w:val="000000"/>
                <w:kern w:val="0"/>
                <w:sz w:val="24"/>
              </w:rPr>
              <w:t>年</w:t>
            </w:r>
            <w:r>
              <w:rPr>
                <w:rFonts w:ascii="黑体" w:hAnsi="黑体" w:eastAsia="黑体" w:cs="黑体"/>
                <w:b/>
                <w:bCs/>
                <w:color w:val="000000"/>
                <w:kern w:val="0"/>
                <w:sz w:val="24"/>
              </w:rPr>
              <w:t xml:space="preserve">  </w:t>
            </w:r>
          </w:p>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目标</w:t>
            </w:r>
          </w:p>
        </w:tc>
        <w:tc>
          <w:tcPr>
            <w:tcW w:w="992" w:type="dxa"/>
            <w:vAlign w:val="center"/>
          </w:tcPr>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年均增长（</w:t>
            </w:r>
            <w:r>
              <w:rPr>
                <w:rFonts w:ascii="黑体" w:hAnsi="黑体" w:eastAsia="黑体" w:cs="黑体"/>
                <w:b/>
                <w:bCs/>
                <w:color w:val="000000"/>
                <w:kern w:val="0"/>
                <w:sz w:val="24"/>
              </w:rPr>
              <w:t>%</w:t>
            </w:r>
            <w:r>
              <w:rPr>
                <w:rFonts w:hint="eastAsia" w:ascii="黑体" w:hAnsi="黑体" w:eastAsia="黑体" w:cs="黑体"/>
                <w:b/>
                <w:bCs/>
                <w:color w:val="000000"/>
                <w:kern w:val="0"/>
                <w:sz w:val="24"/>
              </w:rPr>
              <w:t>）</w:t>
            </w:r>
          </w:p>
        </w:tc>
        <w:tc>
          <w:tcPr>
            <w:tcW w:w="991" w:type="dxa"/>
            <w:vAlign w:val="center"/>
          </w:tcPr>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指标</w:t>
            </w:r>
          </w:p>
          <w:p>
            <w:pPr>
              <w:widowControl/>
              <w:jc w:val="center"/>
              <w:rPr>
                <w:rFonts w:ascii="黑体" w:hAnsi="黑体" w:eastAsia="黑体"/>
                <w:b/>
                <w:bCs/>
                <w:color w:val="000000"/>
                <w:kern w:val="0"/>
                <w:sz w:val="24"/>
              </w:rPr>
            </w:pPr>
            <w:r>
              <w:rPr>
                <w:rFonts w:hint="eastAsia" w:ascii="黑体" w:hAnsi="黑体" w:eastAsia="黑体" w:cs="黑体"/>
                <w:b/>
                <w:bCs/>
                <w:color w:val="000000"/>
                <w:kern w:val="0"/>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vAlign w:val="center"/>
          </w:tcPr>
          <w:p>
            <w:pPr>
              <w:widowControl/>
              <w:jc w:val="left"/>
              <w:rPr>
                <w:rFonts w:ascii="黑体" w:hAnsi="黑体" w:eastAsia="黑体"/>
                <w:color w:val="000000"/>
                <w:kern w:val="0"/>
                <w:sz w:val="24"/>
              </w:rPr>
            </w:pPr>
            <w:r>
              <w:rPr>
                <w:rFonts w:hint="eastAsia" w:ascii="黑体" w:hAnsi="黑体" w:eastAsia="黑体" w:cs="黑体"/>
                <w:color w:val="000000"/>
                <w:kern w:val="0"/>
                <w:sz w:val="24"/>
              </w:rPr>
              <w:t>经济高效</w:t>
            </w: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地区生产总值增速（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3.9</w:t>
            </w:r>
          </w:p>
        </w:tc>
        <w:tc>
          <w:tcPr>
            <w:tcW w:w="1134" w:type="dxa"/>
            <w:vAlign w:val="center"/>
          </w:tcPr>
          <w:p>
            <w:pPr>
              <w:widowControl/>
              <w:jc w:val="center"/>
              <w:rPr>
                <w:rFonts w:ascii="黑体" w:hAnsi="黑体" w:eastAsia="黑体"/>
                <w:color w:val="000000"/>
                <w:kern w:val="0"/>
                <w:sz w:val="24"/>
              </w:rPr>
            </w:pPr>
            <w:r>
              <w:rPr>
                <w:rFonts w:eastAsia="黑体"/>
                <w:color w:val="000000"/>
                <w:kern w:val="0"/>
                <w:sz w:val="24"/>
              </w:rPr>
              <w:t>—</w:t>
            </w:r>
          </w:p>
        </w:tc>
        <w:tc>
          <w:tcPr>
            <w:tcW w:w="992" w:type="dxa"/>
            <w:vAlign w:val="center"/>
          </w:tcPr>
          <w:p>
            <w:pPr>
              <w:widowControl/>
              <w:jc w:val="center"/>
              <w:rPr>
                <w:color w:val="000000"/>
                <w:kern w:val="0"/>
                <w:sz w:val="24"/>
              </w:rPr>
            </w:pPr>
            <w:r>
              <w:rPr>
                <w:rFonts w:ascii="仿宋_GB2312" w:eastAsia="仿宋_GB2312" w:cs="仿宋_GB2312"/>
                <w:color w:val="000000"/>
                <w:kern w:val="0"/>
                <w:sz w:val="24"/>
              </w:rPr>
              <w:t>7.5</w:t>
            </w:r>
            <w:r>
              <w:rPr>
                <w:rFonts w:hint="eastAsia" w:ascii="仿宋_GB2312" w:eastAsia="仿宋_GB2312" w:cs="仿宋_GB2312"/>
                <w:color w:val="000000"/>
                <w:kern w:val="0"/>
                <w:sz w:val="24"/>
              </w:rPr>
              <w:t>以上</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人均地区生产总值（万元</w:t>
            </w:r>
            <w:r>
              <w:rPr>
                <w:rFonts w:ascii="仿宋_GB2312" w:eastAsia="仿宋_GB2312" w:cs="仿宋_GB2312"/>
                <w:color w:val="000000"/>
                <w:kern w:val="0"/>
                <w:sz w:val="24"/>
              </w:rPr>
              <w:t>/</w:t>
            </w:r>
            <w:r>
              <w:rPr>
                <w:rFonts w:hint="eastAsia" w:ascii="仿宋_GB2312" w:eastAsia="仿宋_GB2312" w:cs="仿宋_GB2312"/>
                <w:color w:val="000000"/>
                <w:kern w:val="0"/>
                <w:sz w:val="24"/>
              </w:rPr>
              <w:t>人）</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4.3</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6.1</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6.5</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全员劳动生产率（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eastAsia="黑体"/>
                <w:color w:val="000000"/>
                <w:kern w:val="0"/>
                <w:sz w:val="24"/>
              </w:rPr>
            </w:pPr>
            <w:r>
              <w:rPr>
                <w:rFonts w:eastAsia="黑体"/>
                <w:color w:val="000000"/>
                <w:kern w:val="0"/>
                <w:sz w:val="24"/>
              </w:rPr>
              <w:t>—</w:t>
            </w:r>
          </w:p>
        </w:tc>
        <w:tc>
          <w:tcPr>
            <w:tcW w:w="1134" w:type="dxa"/>
            <w:vAlign w:val="center"/>
          </w:tcPr>
          <w:p>
            <w:pPr>
              <w:widowControl/>
              <w:jc w:val="center"/>
              <w:rPr>
                <w:rFonts w:eastAsia="黑体"/>
                <w:color w:val="000000"/>
                <w:kern w:val="0"/>
                <w:sz w:val="24"/>
              </w:rPr>
            </w:pPr>
            <w:r>
              <w:rPr>
                <w:rFonts w:eastAsia="黑体"/>
                <w:color w:val="000000"/>
                <w:kern w:val="0"/>
                <w:sz w:val="24"/>
              </w:rPr>
              <w:t>—</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7.5</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一般公共预算收入（亿元）</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9.4</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12</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5</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固定资产投资增速（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-15.1</w:t>
            </w:r>
          </w:p>
        </w:tc>
        <w:tc>
          <w:tcPr>
            <w:tcW w:w="1134" w:type="dxa"/>
            <w:vAlign w:val="center"/>
          </w:tcPr>
          <w:p>
            <w:pPr>
              <w:widowControl/>
              <w:jc w:val="center"/>
              <w:rPr>
                <w:rFonts w:ascii="仿宋_GB2312" w:eastAsia="仿宋_GB2312"/>
                <w:color w:val="000000"/>
                <w:kern w:val="0"/>
                <w:sz w:val="24"/>
                <w:highlight w:val="yellow"/>
              </w:rPr>
            </w:pPr>
            <w:r>
              <w:rPr>
                <w:rFonts w:eastAsia="黑体"/>
                <w:color w:val="000000"/>
                <w:kern w:val="0"/>
                <w:sz w:val="24"/>
              </w:rPr>
              <w:t>—</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8</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规模以上工业增加值增速（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2.7</w:t>
            </w:r>
          </w:p>
        </w:tc>
        <w:tc>
          <w:tcPr>
            <w:tcW w:w="1134" w:type="dxa"/>
            <w:vAlign w:val="center"/>
          </w:tcPr>
          <w:p>
            <w:pPr>
              <w:widowControl/>
              <w:jc w:val="center"/>
              <w:rPr>
                <w:rFonts w:eastAsia="黑体"/>
                <w:color w:val="000000"/>
                <w:kern w:val="0"/>
                <w:sz w:val="24"/>
              </w:rPr>
            </w:pPr>
            <w:r>
              <w:rPr>
                <w:rFonts w:eastAsia="黑体"/>
                <w:color w:val="000000"/>
                <w:kern w:val="0"/>
                <w:sz w:val="24"/>
              </w:rPr>
              <w:t>—</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8</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制造业增加值占</w:t>
            </w:r>
            <w:r>
              <w:rPr>
                <w:rFonts w:ascii="仿宋_GB2312" w:eastAsia="仿宋_GB2312" w:cs="仿宋_GB2312"/>
                <w:color w:val="000000"/>
                <w:kern w:val="0"/>
                <w:sz w:val="24"/>
              </w:rPr>
              <w:t>GDP</w:t>
            </w:r>
            <w:r>
              <w:rPr>
                <w:rFonts w:hint="eastAsia" w:ascii="仿宋_GB2312" w:eastAsia="仿宋_GB2312" w:cs="仿宋_GB2312"/>
                <w:color w:val="000000"/>
                <w:kern w:val="0"/>
                <w:sz w:val="24"/>
              </w:rPr>
              <w:t>比重（</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24</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26</w:t>
            </w:r>
          </w:p>
        </w:tc>
        <w:tc>
          <w:tcPr>
            <w:tcW w:w="992"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年均提高</w:t>
            </w:r>
            <w:r>
              <w:rPr>
                <w:rFonts w:ascii="仿宋_GB2312" w:eastAsia="仿宋_GB2312" w:cs="仿宋_GB2312"/>
                <w:color w:val="000000"/>
                <w:kern w:val="0"/>
                <w:sz w:val="24"/>
              </w:rPr>
              <w:t>0.4</w:t>
            </w:r>
            <w:r>
              <w:rPr>
                <w:rFonts w:hint="eastAsia" w:ascii="仿宋_GB2312" w:eastAsia="仿宋_GB2312" w:cs="仿宋_GB2312"/>
                <w:color w:val="000000"/>
                <w:kern w:val="0"/>
                <w:sz w:val="24"/>
              </w:rPr>
              <w:t>个百分点</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外贸进出口总额增速（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-10.3</w:t>
            </w:r>
          </w:p>
        </w:tc>
        <w:tc>
          <w:tcPr>
            <w:tcW w:w="1134" w:type="dxa"/>
            <w:vAlign w:val="center"/>
          </w:tcPr>
          <w:p>
            <w:pPr>
              <w:widowControl/>
              <w:wordWrap w:val="0"/>
              <w:jc w:val="center"/>
              <w:rPr>
                <w:rFonts w:ascii="仿宋_GB2312" w:eastAsia="仿宋_GB2312"/>
                <w:color w:val="000000"/>
                <w:kern w:val="0"/>
                <w:sz w:val="24"/>
              </w:rPr>
            </w:pPr>
            <w:r>
              <w:rPr>
                <w:rFonts w:hint="eastAsia" w:ascii="仿宋_GB2312" w:eastAsia="仿宋_GB2312" w:cs="仿宋_GB2312"/>
                <w:color w:val="000000"/>
                <w:kern w:val="0"/>
                <w:sz w:val="24"/>
              </w:rPr>
              <w:t>与市一致</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6.5</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社会消费品零售总额增速（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1.0</w:t>
            </w:r>
          </w:p>
        </w:tc>
        <w:tc>
          <w:tcPr>
            <w:tcW w:w="1134" w:type="dxa"/>
            <w:vAlign w:val="center"/>
          </w:tcPr>
          <w:p>
            <w:pPr>
              <w:widowControl/>
              <w:jc w:val="center"/>
              <w:rPr>
                <w:rFonts w:ascii="仿宋_GB2312" w:eastAsia="仿宋_GB2312"/>
                <w:color w:val="000000"/>
                <w:kern w:val="0"/>
                <w:sz w:val="24"/>
              </w:rPr>
            </w:pPr>
            <w:r>
              <w:rPr>
                <w:rFonts w:eastAsia="黑体"/>
                <w:color w:val="000000"/>
                <w:kern w:val="0"/>
                <w:sz w:val="24"/>
              </w:rPr>
              <w:t>—</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8</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s="仿宋_GB2312"/>
                <w:color w:val="000000"/>
                <w:kern w:val="0"/>
                <w:sz w:val="24"/>
              </w:rPr>
            </w:pPr>
            <w:r>
              <w:rPr>
                <w:rFonts w:hint="eastAsia" w:ascii="仿宋_GB2312" w:eastAsia="仿宋_GB2312" w:cs="仿宋_GB2312"/>
                <w:color w:val="000000"/>
                <w:kern w:val="0"/>
                <w:sz w:val="24"/>
              </w:rPr>
              <w:t>旅游总收入</w:t>
            </w:r>
            <w:r>
              <w:rPr>
                <w:rFonts w:ascii="仿宋_GB2312" w:eastAsia="仿宋_GB2312" w:cs="仿宋_GB2312"/>
                <w:color w:val="000000"/>
                <w:kern w:val="0"/>
                <w:sz w:val="24"/>
              </w:rPr>
              <w:t>(</w:t>
            </w:r>
            <w:r>
              <w:rPr>
                <w:rFonts w:hint="eastAsia" w:ascii="仿宋_GB2312" w:eastAsia="仿宋_GB2312" w:cs="仿宋_GB2312"/>
                <w:color w:val="000000"/>
                <w:kern w:val="0"/>
                <w:sz w:val="24"/>
              </w:rPr>
              <w:t>亿元</w:t>
            </w:r>
            <w:r>
              <w:rPr>
                <w:rFonts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*55.18</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75</w:t>
            </w:r>
          </w:p>
        </w:tc>
        <w:tc>
          <w:tcPr>
            <w:tcW w:w="992" w:type="dxa"/>
            <w:vAlign w:val="center"/>
          </w:tcPr>
          <w:p>
            <w:pPr>
              <w:widowControl/>
              <w:jc w:val="center"/>
              <w:rPr>
                <w:color w:val="000000"/>
                <w:kern w:val="0"/>
                <w:sz w:val="24"/>
              </w:rPr>
            </w:pPr>
            <w:r>
              <w:rPr>
                <w:color w:val="000000"/>
                <w:kern w:val="0"/>
                <w:sz w:val="24"/>
              </w:rPr>
              <w:t>10</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游客接待人数（万人次）</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*685.5</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900</w:t>
            </w:r>
          </w:p>
        </w:tc>
        <w:tc>
          <w:tcPr>
            <w:tcW w:w="992" w:type="dxa"/>
            <w:vAlign w:val="center"/>
          </w:tcPr>
          <w:p>
            <w:pPr>
              <w:widowControl/>
              <w:jc w:val="center"/>
              <w:rPr>
                <w:color w:val="000000"/>
                <w:kern w:val="0"/>
                <w:sz w:val="24"/>
              </w:rPr>
            </w:pPr>
            <w:r>
              <w:rPr>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常住人口城镇化率（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49.8</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55</w:t>
            </w:r>
          </w:p>
        </w:tc>
        <w:tc>
          <w:tcPr>
            <w:tcW w:w="992" w:type="dxa"/>
            <w:vAlign w:val="center"/>
          </w:tcPr>
          <w:p>
            <w:pPr>
              <w:widowControl/>
              <w:jc w:val="center"/>
              <w:rPr>
                <w:rFonts w:eastAsia="黑体"/>
                <w:color w:val="000000"/>
                <w:kern w:val="0"/>
                <w:sz w:val="24"/>
                <w:highlight w:val="yellow"/>
              </w:rPr>
            </w:pPr>
            <w:r>
              <w:rPr>
                <w:rFonts w:hint="eastAsia" w:ascii="仿宋_GB2312" w:eastAsia="仿宋_GB2312" w:cs="仿宋_GB2312"/>
                <w:color w:val="000000"/>
                <w:kern w:val="0"/>
                <w:sz w:val="24"/>
              </w:rPr>
              <w:t>年均</w:t>
            </w:r>
            <w:r>
              <w:rPr>
                <w:rFonts w:eastAsia="黑体"/>
                <w:color w:val="000000"/>
                <w:kern w:val="0"/>
                <w:sz w:val="24"/>
              </w:rPr>
              <w:t>—</w:t>
            </w:r>
            <w:r>
              <w:rPr>
                <w:rFonts w:hint="eastAsia" w:ascii="仿宋_GB2312" w:eastAsia="仿宋_GB2312" w:cs="仿宋_GB2312"/>
                <w:color w:val="000000"/>
                <w:kern w:val="0"/>
                <w:sz w:val="24"/>
              </w:rPr>
              <w:t>高</w:t>
            </w:r>
            <w:r>
              <w:rPr>
                <w:rFonts w:ascii="仿宋_GB2312" w:eastAsia="仿宋_GB2312" w:cs="仿宋_GB2312"/>
                <w:color w:val="000000"/>
                <w:kern w:val="0"/>
                <w:sz w:val="24"/>
              </w:rPr>
              <w:t>1</w:t>
            </w:r>
            <w:r>
              <w:rPr>
                <w:rFonts w:hint="eastAsia" w:ascii="仿宋_GB2312" w:eastAsia="仿宋_GB2312" w:cs="仿宋_GB2312"/>
                <w:color w:val="000000"/>
                <w:kern w:val="0"/>
                <w:sz w:val="24"/>
              </w:rPr>
              <w:t>个百分点</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noWrap/>
            <w:vAlign w:val="center"/>
          </w:tcPr>
          <w:p>
            <w:pPr>
              <w:widowControl/>
              <w:jc w:val="left"/>
              <w:rPr>
                <w:rFonts w:ascii="黑体" w:hAnsi="黑体" w:eastAsia="黑体"/>
                <w:color w:val="000000"/>
                <w:kern w:val="0"/>
                <w:sz w:val="24"/>
              </w:rPr>
            </w:pPr>
            <w:r>
              <w:rPr>
                <w:rFonts w:hint="eastAsia" w:ascii="黑体" w:hAnsi="黑体" w:eastAsia="黑体" w:cs="黑体"/>
                <w:color w:val="000000"/>
                <w:kern w:val="0"/>
                <w:sz w:val="24"/>
              </w:rPr>
              <w:t>创新驱动</w:t>
            </w: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研发经费投入增长（</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5</w:t>
            </w:r>
          </w:p>
        </w:tc>
        <w:tc>
          <w:tcPr>
            <w:tcW w:w="1134" w:type="dxa"/>
            <w:vAlign w:val="center"/>
          </w:tcPr>
          <w:p>
            <w:pPr>
              <w:widowControl/>
              <w:jc w:val="center"/>
              <w:rPr>
                <w:rFonts w:ascii="仿宋_GB2312" w:eastAsia="仿宋_GB2312"/>
                <w:color w:val="000000"/>
                <w:kern w:val="0"/>
                <w:sz w:val="24"/>
              </w:rPr>
            </w:pPr>
            <w:r>
              <w:rPr>
                <w:color w:val="000000"/>
                <w:kern w:val="0"/>
                <w:sz w:val="24"/>
              </w:rPr>
              <w:t>—</w:t>
            </w:r>
          </w:p>
        </w:tc>
        <w:tc>
          <w:tcPr>
            <w:tcW w:w="992" w:type="dxa"/>
            <w:vAlign w:val="center"/>
          </w:tcPr>
          <w:p>
            <w:pPr>
              <w:widowControl/>
              <w:jc w:val="center"/>
              <w:rPr>
                <w:color w:val="000000"/>
                <w:kern w:val="0"/>
                <w:sz w:val="24"/>
                <w:highlight w:val="yellow"/>
              </w:rPr>
            </w:pPr>
            <w:r>
              <w:rPr>
                <w:rFonts w:ascii="仿宋_GB2312" w:eastAsia="仿宋_GB2312" w:cs="仿宋_GB2312"/>
                <w:color w:val="000000"/>
                <w:kern w:val="0"/>
                <w:sz w:val="24"/>
              </w:rPr>
              <w:t>13</w:t>
            </w:r>
            <w:r>
              <w:rPr>
                <w:rFonts w:hint="eastAsia" w:ascii="仿宋_GB2312" w:eastAsia="仿宋_GB2312" w:cs="仿宋_GB2312"/>
                <w:color w:val="000000"/>
                <w:kern w:val="0"/>
                <w:sz w:val="24"/>
              </w:rPr>
              <w:t>以上</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高新技术企业数（个）</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13</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30</w:t>
            </w:r>
          </w:p>
        </w:tc>
        <w:tc>
          <w:tcPr>
            <w:tcW w:w="992" w:type="dxa"/>
            <w:vAlign w:val="center"/>
          </w:tcPr>
          <w:p>
            <w:pPr>
              <w:widowControl/>
              <w:jc w:val="center"/>
              <w:rPr>
                <w:rFonts w:ascii="仿宋_GB2312" w:eastAsia="仿宋_GB2312"/>
                <w:color w:val="000000"/>
                <w:kern w:val="0"/>
                <w:sz w:val="24"/>
                <w:highlight w:val="yellow"/>
              </w:rPr>
            </w:pPr>
            <w:r>
              <w:rPr>
                <w:rFonts w:ascii="仿宋_GB2312" w:eastAsia="仿宋_GB2312" w:cs="仿宋_GB2312"/>
                <w:color w:val="000000"/>
                <w:kern w:val="0"/>
                <w:sz w:val="24"/>
              </w:rPr>
              <w:t>12.5</w:t>
            </w:r>
            <w:r>
              <w:rPr>
                <w:rFonts w:hint="eastAsia" w:ascii="仿宋_GB2312" w:eastAsia="仿宋_GB2312" w:cs="仿宋_GB2312"/>
                <w:color w:val="000000"/>
                <w:kern w:val="0"/>
                <w:sz w:val="24"/>
              </w:rPr>
              <w:t>以上</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战略性新兴产业产值</w:t>
            </w:r>
            <w:r>
              <w:rPr>
                <w:rFonts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11.5</w:t>
            </w:r>
          </w:p>
        </w:tc>
        <w:tc>
          <w:tcPr>
            <w:tcW w:w="1134" w:type="dxa"/>
            <w:vAlign w:val="center"/>
          </w:tcPr>
          <w:p>
            <w:pPr>
              <w:widowControl/>
              <w:jc w:val="center"/>
              <w:rPr>
                <w:rFonts w:eastAsia="黑体"/>
                <w:color w:val="000000"/>
                <w:kern w:val="0"/>
                <w:sz w:val="24"/>
              </w:rPr>
            </w:pPr>
            <w:r>
              <w:rPr>
                <w:rFonts w:eastAsia="黑体"/>
                <w:color w:val="000000"/>
                <w:kern w:val="0"/>
                <w:sz w:val="24"/>
              </w:rPr>
              <w:t>—</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6</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每万人口高质量发明专利拥有量【每万人有效发明专利拥有量】（件）</w:t>
            </w:r>
          </w:p>
        </w:tc>
        <w:tc>
          <w:tcPr>
            <w:tcW w:w="1452" w:type="dxa"/>
            <w:vAlign w:val="center"/>
          </w:tcPr>
          <w:p>
            <w:pPr>
              <w:widowControl/>
              <w:jc w:val="center"/>
              <w:rPr>
                <w:rFonts w:ascii="仿宋_GB2312" w:eastAsia="仿宋_GB2312"/>
                <w:color w:val="000000"/>
                <w:kern w:val="0"/>
                <w:sz w:val="24"/>
              </w:rPr>
            </w:pPr>
            <w:r>
              <w:rPr>
                <w:rFonts w:eastAsia="黑体"/>
                <w:color w:val="000000"/>
                <w:kern w:val="0"/>
                <w:sz w:val="24"/>
              </w:rPr>
              <w:t>—</w:t>
            </w:r>
            <w:r>
              <w:rPr>
                <w:rFonts w:hint="eastAsia" w:ascii="仿宋_GB2312" w:eastAsia="仿宋_GB2312" w:cs="仿宋_GB2312"/>
                <w:color w:val="000000"/>
                <w:kern w:val="0"/>
                <w:sz w:val="24"/>
              </w:rPr>
              <w:t>【</w:t>
            </w:r>
            <w:r>
              <w:rPr>
                <w:rFonts w:ascii="仿宋_GB2312" w:eastAsia="仿宋_GB2312" w:cs="仿宋_GB2312"/>
                <w:color w:val="000000"/>
                <w:kern w:val="0"/>
                <w:sz w:val="24"/>
              </w:rPr>
              <w:t>8</w:t>
            </w:r>
            <w:r>
              <w:rPr>
                <w:rFonts w:hint="eastAsia" w:ascii="仿宋_GB2312" w:eastAsia="仿宋_GB2312" w:cs="仿宋_GB2312"/>
                <w:color w:val="000000"/>
                <w:kern w:val="0"/>
                <w:sz w:val="24"/>
              </w:rPr>
              <w:t>】</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7</w:t>
            </w:r>
            <w:r>
              <w:rPr>
                <w:rFonts w:hint="eastAsia" w:ascii="仿宋_GB2312" w:eastAsia="仿宋_GB2312" w:cs="仿宋_GB2312"/>
                <w:color w:val="000000"/>
                <w:kern w:val="0"/>
                <w:sz w:val="24"/>
              </w:rPr>
              <w:t>【</w:t>
            </w:r>
            <w:r>
              <w:rPr>
                <w:rFonts w:ascii="仿宋_GB2312" w:eastAsia="仿宋_GB2312" w:cs="仿宋_GB2312"/>
                <w:color w:val="000000"/>
                <w:kern w:val="0"/>
                <w:sz w:val="24"/>
              </w:rPr>
              <w:t>15</w:t>
            </w:r>
            <w:r>
              <w:rPr>
                <w:rFonts w:hint="eastAsia" w:ascii="仿宋_GB2312" w:eastAsia="仿宋_GB2312" w:cs="仿宋_GB2312"/>
                <w:color w:val="000000"/>
                <w:kern w:val="0"/>
                <w:sz w:val="24"/>
              </w:rPr>
              <w:t>】</w:t>
            </w:r>
          </w:p>
        </w:tc>
        <w:tc>
          <w:tcPr>
            <w:tcW w:w="992" w:type="dxa"/>
            <w:vAlign w:val="center"/>
          </w:tcPr>
          <w:p>
            <w:pPr>
              <w:widowControl/>
              <w:jc w:val="center"/>
              <w:rPr>
                <w:rFonts w:eastAsia="黑体"/>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数字经济核心产业增加值占</w:t>
            </w:r>
            <w:r>
              <w:rPr>
                <w:rFonts w:ascii="仿宋_GB2312" w:eastAsia="仿宋_GB2312" w:cs="仿宋_GB2312"/>
                <w:color w:val="000000"/>
                <w:kern w:val="0"/>
                <w:sz w:val="24"/>
              </w:rPr>
              <w:t>GDP</w:t>
            </w:r>
            <w:r>
              <w:rPr>
                <w:rFonts w:hint="eastAsia" w:ascii="仿宋_GB2312" w:eastAsia="仿宋_GB2312" w:cs="仿宋_GB2312"/>
                <w:color w:val="000000"/>
                <w:kern w:val="0"/>
                <w:sz w:val="24"/>
              </w:rPr>
              <w:t>比重（</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eastAsia="黑体"/>
                <w:color w:val="000000"/>
                <w:kern w:val="0"/>
                <w:sz w:val="24"/>
              </w:rPr>
              <w:t>—</w:t>
            </w:r>
          </w:p>
        </w:tc>
        <w:tc>
          <w:tcPr>
            <w:tcW w:w="1134"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达到全市平均水平</w:t>
            </w:r>
          </w:p>
        </w:tc>
        <w:tc>
          <w:tcPr>
            <w:tcW w:w="992" w:type="dxa"/>
            <w:vAlign w:val="center"/>
          </w:tcPr>
          <w:p>
            <w:pPr>
              <w:widowControl/>
              <w:jc w:val="center"/>
              <w:rPr>
                <w:rFonts w:eastAsia="黑体"/>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noWrap/>
            <w:vAlign w:val="center"/>
          </w:tcPr>
          <w:p>
            <w:pPr>
              <w:widowControl/>
              <w:jc w:val="left"/>
              <w:rPr>
                <w:rFonts w:ascii="黑体" w:hAnsi="黑体" w:eastAsia="黑体"/>
                <w:color w:val="000000"/>
                <w:kern w:val="0"/>
                <w:sz w:val="24"/>
              </w:rPr>
            </w:pPr>
            <w:r>
              <w:rPr>
                <w:rFonts w:hint="eastAsia" w:ascii="黑体" w:hAnsi="黑体" w:eastAsia="黑体" w:cs="黑体"/>
                <w:color w:val="000000"/>
                <w:kern w:val="0"/>
                <w:sz w:val="24"/>
              </w:rPr>
              <w:t>绿色低碳</w:t>
            </w: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单位地区生产总值能耗降低（</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1134" w:type="dxa"/>
            <w:vAlign w:val="center"/>
          </w:tcPr>
          <w:p>
            <w:pPr>
              <w:widowControl/>
              <w:wordWrap w:val="0"/>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992" w:type="dxa"/>
            <w:vAlign w:val="center"/>
          </w:tcPr>
          <w:p>
            <w:pPr>
              <w:widowControl/>
              <w:wordWrap w:val="0"/>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单位地区生产总值二氧化碳排放下降（</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1134" w:type="dxa"/>
            <w:vAlign w:val="center"/>
          </w:tcPr>
          <w:p>
            <w:pPr>
              <w:widowControl/>
              <w:wordWrap w:val="0"/>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992" w:type="dxa"/>
            <w:vAlign w:val="center"/>
          </w:tcPr>
          <w:p>
            <w:pPr>
              <w:widowControl/>
              <w:wordWrap w:val="0"/>
              <w:jc w:val="center"/>
              <w:rPr>
                <w:rFonts w:ascii="仿宋_GB2312" w:eastAsia="仿宋_GB2312"/>
                <w:color w:val="000000"/>
                <w:kern w:val="0"/>
                <w:sz w:val="24"/>
              </w:rPr>
            </w:pPr>
            <w:r>
              <w:rPr>
                <w:rFonts w:hint="eastAsia" w:ascii="仿宋_GB2312" w:eastAsia="仿宋_GB2312" w:cs="仿宋_GB2312"/>
                <w:color w:val="000000"/>
                <w:kern w:val="0"/>
                <w:sz w:val="24"/>
              </w:rPr>
              <w:t>完成市下达目标</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城市空气质量优良天数比率（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98.3</w:t>
            </w:r>
          </w:p>
        </w:tc>
        <w:tc>
          <w:tcPr>
            <w:tcW w:w="1134" w:type="dxa"/>
            <w:vAlign w:val="center"/>
          </w:tcPr>
          <w:p>
            <w:pPr>
              <w:widowControl/>
              <w:jc w:val="center"/>
              <w:rPr>
                <w:rFonts w:eastAsia="黑体"/>
                <w:color w:val="000000"/>
                <w:kern w:val="0"/>
                <w:sz w:val="24"/>
              </w:rPr>
            </w:pPr>
            <w:r>
              <w:rPr>
                <w:rFonts w:eastAsia="黑体"/>
                <w:color w:val="000000"/>
                <w:kern w:val="0"/>
                <w:sz w:val="24"/>
              </w:rPr>
              <w:t>—</w:t>
            </w:r>
          </w:p>
        </w:tc>
        <w:tc>
          <w:tcPr>
            <w:tcW w:w="992"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保持全省前列</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地表水达到或好于Ⅲ类水比例（</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100</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100</w:t>
            </w:r>
          </w:p>
        </w:tc>
        <w:tc>
          <w:tcPr>
            <w:tcW w:w="99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100</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森林覆盖率（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83.27</w:t>
            </w:r>
          </w:p>
        </w:tc>
        <w:tc>
          <w:tcPr>
            <w:tcW w:w="1134"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保持全国前列</w:t>
            </w:r>
          </w:p>
        </w:tc>
        <w:tc>
          <w:tcPr>
            <w:tcW w:w="992"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保持全国前列</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6" w:type="dxa"/>
            <w:vMerge w:val="restart"/>
            <w:noWrap/>
            <w:vAlign w:val="center"/>
          </w:tcPr>
          <w:p>
            <w:pPr>
              <w:jc w:val="center"/>
              <w:rPr>
                <w:rFonts w:ascii="黑体" w:hAnsi="黑体" w:eastAsia="黑体"/>
                <w:color w:val="000000"/>
                <w:kern w:val="0"/>
                <w:sz w:val="24"/>
              </w:rPr>
            </w:pPr>
          </w:p>
          <w:p>
            <w:pPr>
              <w:jc w:val="center"/>
              <w:rPr>
                <w:rFonts w:ascii="黑体" w:hAnsi="黑体" w:eastAsia="黑体"/>
                <w:color w:val="000000"/>
                <w:kern w:val="0"/>
                <w:sz w:val="24"/>
              </w:rPr>
            </w:pPr>
          </w:p>
          <w:p>
            <w:pPr>
              <w:jc w:val="center"/>
              <w:rPr>
                <w:rFonts w:ascii="黑体" w:hAnsi="黑体" w:eastAsia="黑体"/>
                <w:color w:val="000000"/>
                <w:kern w:val="0"/>
                <w:sz w:val="24"/>
              </w:rPr>
            </w:pPr>
          </w:p>
          <w:p>
            <w:pPr>
              <w:jc w:val="center"/>
              <w:rPr>
                <w:rFonts w:ascii="黑体" w:hAnsi="黑体" w:eastAsia="黑体"/>
                <w:color w:val="000000"/>
                <w:kern w:val="0"/>
                <w:sz w:val="24"/>
              </w:rPr>
            </w:pPr>
            <w:r>
              <w:rPr>
                <w:rFonts w:hint="eastAsia" w:ascii="黑体" w:hAnsi="黑体" w:eastAsia="黑体" w:cs="黑体"/>
                <w:color w:val="000000"/>
                <w:kern w:val="0"/>
                <w:sz w:val="24"/>
              </w:rPr>
              <w:t>民生共享</w:t>
            </w: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jc w:val="left"/>
              <w:rPr>
                <w:rFonts w:ascii="仿宋_GB2312" w:eastAsia="仿宋_GB2312"/>
                <w:color w:val="000000"/>
                <w:kern w:val="0"/>
                <w:sz w:val="24"/>
              </w:rPr>
            </w:pPr>
            <w:r>
              <w:rPr>
                <w:rFonts w:hint="eastAsia" w:ascii="仿宋_GB2312" w:eastAsia="仿宋_GB2312" w:cs="仿宋_GB2312"/>
                <w:color w:val="000000"/>
                <w:kern w:val="0"/>
                <w:sz w:val="24"/>
              </w:rPr>
              <w:t>全体居民人均可支配收入年均增速（</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6.9</w:t>
            </w:r>
          </w:p>
        </w:tc>
        <w:tc>
          <w:tcPr>
            <w:tcW w:w="1134" w:type="dxa"/>
            <w:vAlign w:val="center"/>
          </w:tcPr>
          <w:p>
            <w:pPr>
              <w:jc w:val="center"/>
              <w:rPr>
                <w:rFonts w:eastAsia="黑体"/>
                <w:color w:val="000000"/>
                <w:kern w:val="0"/>
                <w:sz w:val="24"/>
              </w:rPr>
            </w:pPr>
            <w:r>
              <w:rPr>
                <w:rFonts w:eastAsia="黑体"/>
                <w:color w:val="000000"/>
                <w:kern w:val="0"/>
                <w:sz w:val="24"/>
              </w:rPr>
              <w:t>—</w:t>
            </w:r>
          </w:p>
        </w:tc>
        <w:tc>
          <w:tcPr>
            <w:tcW w:w="992" w:type="dxa"/>
            <w:vAlign w:val="center"/>
          </w:tcPr>
          <w:p>
            <w:pPr>
              <w:jc w:val="center"/>
              <w:rPr>
                <w:rFonts w:ascii="仿宋_GB2312" w:eastAsia="仿宋_GB2312" w:cs="仿宋_GB2312"/>
                <w:color w:val="000000"/>
                <w:kern w:val="0"/>
                <w:sz w:val="24"/>
              </w:rPr>
            </w:pPr>
            <w:r>
              <w:rPr>
                <w:rFonts w:ascii="仿宋_GB2312" w:eastAsia="仿宋_GB2312" w:cs="仿宋_GB2312"/>
                <w:color w:val="000000"/>
                <w:kern w:val="0"/>
                <w:sz w:val="24"/>
              </w:rPr>
              <w:t>8</w:t>
            </w:r>
          </w:p>
        </w:tc>
        <w:tc>
          <w:tcPr>
            <w:tcW w:w="991" w:type="dxa"/>
            <w:vAlign w:val="center"/>
          </w:tcPr>
          <w:p>
            <w:pPr>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城镇调查失业率（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5.5</w:t>
            </w:r>
            <w:r>
              <w:rPr>
                <w:rFonts w:hint="eastAsia" w:ascii="仿宋_GB2312" w:eastAsia="仿宋_GB2312" w:cs="仿宋_GB2312"/>
                <w:color w:val="000000"/>
                <w:kern w:val="0"/>
                <w:sz w:val="24"/>
              </w:rPr>
              <w:t>以内</w:t>
            </w:r>
          </w:p>
        </w:tc>
        <w:tc>
          <w:tcPr>
            <w:tcW w:w="1134" w:type="dxa"/>
            <w:vAlign w:val="center"/>
          </w:tcPr>
          <w:p>
            <w:pPr>
              <w:widowControl/>
              <w:jc w:val="center"/>
              <w:rPr>
                <w:rFonts w:ascii="仿宋_GB2312" w:hAnsi="黑体" w:eastAsia="仿宋_GB2312"/>
                <w:color w:val="000000"/>
                <w:kern w:val="0"/>
                <w:sz w:val="24"/>
              </w:rPr>
            </w:pPr>
            <w:r>
              <w:rPr>
                <w:rFonts w:ascii="仿宋_GB2312" w:eastAsia="仿宋_GB2312" w:cs="仿宋_GB2312"/>
                <w:color w:val="000000"/>
                <w:kern w:val="0"/>
                <w:sz w:val="24"/>
              </w:rPr>
              <w:t>5.5</w:t>
            </w:r>
            <w:r>
              <w:rPr>
                <w:rFonts w:hint="eastAsia" w:ascii="仿宋_GB2312" w:hAnsi="黑体" w:eastAsia="仿宋_GB2312" w:cs="仿宋_GB2312"/>
                <w:color w:val="000000"/>
                <w:kern w:val="0"/>
                <w:sz w:val="24"/>
              </w:rPr>
              <w:t>以内</w:t>
            </w:r>
          </w:p>
        </w:tc>
        <w:tc>
          <w:tcPr>
            <w:tcW w:w="992" w:type="dxa"/>
            <w:vAlign w:val="center"/>
          </w:tcPr>
          <w:p>
            <w:pPr>
              <w:widowControl/>
              <w:jc w:val="center"/>
              <w:rPr>
                <w:color w:val="000000"/>
                <w:kern w:val="0"/>
                <w:sz w:val="24"/>
              </w:rPr>
            </w:pPr>
            <w:r>
              <w:rPr>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基本养老保险参保人数（万人）</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19</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19</w:t>
            </w:r>
          </w:p>
        </w:tc>
        <w:tc>
          <w:tcPr>
            <w:tcW w:w="992" w:type="dxa"/>
            <w:vAlign w:val="center"/>
          </w:tcPr>
          <w:p>
            <w:pPr>
              <w:widowControl/>
              <w:jc w:val="center"/>
              <w:rPr>
                <w:rFonts w:ascii="仿宋_GB2312" w:eastAsia="仿宋_GB2312"/>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劳动年龄人口平均受教育年限（年）</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10.4</w:t>
            </w:r>
          </w:p>
        </w:tc>
        <w:tc>
          <w:tcPr>
            <w:tcW w:w="1134"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达到全省平均水平</w:t>
            </w:r>
          </w:p>
        </w:tc>
        <w:tc>
          <w:tcPr>
            <w:tcW w:w="992" w:type="dxa"/>
            <w:vAlign w:val="center"/>
          </w:tcPr>
          <w:p>
            <w:pPr>
              <w:widowControl/>
              <w:jc w:val="center"/>
              <w:rPr>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普惠性幼儿园覆盖率（</w:t>
            </w:r>
            <w:r>
              <w:rPr>
                <w:rFonts w:ascii="仿宋_GB2312" w:eastAsia="仿宋_GB2312" w:cs="仿宋_GB2312"/>
                <w:color w:val="000000"/>
                <w:kern w:val="0"/>
                <w:sz w:val="24"/>
              </w:rPr>
              <w:t>%</w:t>
            </w:r>
            <w:r>
              <w:rPr>
                <w:rFonts w:hint="eastAsia" w:ascii="仿宋_GB2312" w:eastAsia="仿宋_GB2312" w:cs="仿宋_GB2312"/>
                <w:color w:val="000000"/>
                <w:kern w:val="0"/>
                <w:sz w:val="24"/>
              </w:rPr>
              <w:t>）</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80</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85</w:t>
            </w:r>
            <w:r>
              <w:rPr>
                <w:rFonts w:hint="eastAsia" w:ascii="仿宋_GB2312" w:eastAsia="仿宋_GB2312" w:cs="仿宋_GB2312"/>
                <w:color w:val="000000"/>
                <w:kern w:val="0"/>
                <w:sz w:val="24"/>
              </w:rPr>
              <w:t>以上</w:t>
            </w:r>
          </w:p>
        </w:tc>
        <w:tc>
          <w:tcPr>
            <w:tcW w:w="992" w:type="dxa"/>
            <w:vAlign w:val="center"/>
          </w:tcPr>
          <w:p>
            <w:pPr>
              <w:widowControl/>
              <w:jc w:val="center"/>
              <w:rPr>
                <w:rFonts w:eastAsia="黑体"/>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每千人口拥有</w:t>
            </w:r>
            <w:r>
              <w:rPr>
                <w:rFonts w:ascii="仿宋_GB2312" w:eastAsia="仿宋_GB2312" w:cs="仿宋_GB2312"/>
                <w:color w:val="000000"/>
                <w:kern w:val="0"/>
                <w:sz w:val="24"/>
              </w:rPr>
              <w:t>0-3</w:t>
            </w:r>
            <w:r>
              <w:rPr>
                <w:rFonts w:hint="eastAsia" w:ascii="仿宋_GB2312" w:eastAsia="仿宋_GB2312" w:cs="仿宋_GB2312"/>
                <w:color w:val="000000"/>
                <w:kern w:val="0"/>
                <w:sz w:val="24"/>
              </w:rPr>
              <w:t>岁婴幼儿托位数（个）</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0.8</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4.6</w:t>
            </w:r>
          </w:p>
        </w:tc>
        <w:tc>
          <w:tcPr>
            <w:tcW w:w="992" w:type="dxa"/>
            <w:vAlign w:val="center"/>
          </w:tcPr>
          <w:p>
            <w:pPr>
              <w:widowControl/>
              <w:jc w:val="center"/>
              <w:rPr>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人均预期寿命（岁）</w:t>
            </w:r>
          </w:p>
        </w:tc>
        <w:tc>
          <w:tcPr>
            <w:tcW w:w="1452" w:type="dxa"/>
            <w:vAlign w:val="center"/>
          </w:tcPr>
          <w:p>
            <w:pPr>
              <w:widowControl/>
              <w:jc w:val="center"/>
              <w:rPr>
                <w:rFonts w:ascii="仿宋_GB2312" w:eastAsia="仿宋_GB2312"/>
                <w:color w:val="000000"/>
                <w:kern w:val="0"/>
                <w:sz w:val="24"/>
              </w:rPr>
            </w:pPr>
            <w:r>
              <w:rPr>
                <w:rFonts w:eastAsia="黑体"/>
                <w:color w:val="000000"/>
                <w:kern w:val="0"/>
                <w:sz w:val="24"/>
              </w:rPr>
              <w:t>—</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78.8</w:t>
            </w:r>
          </w:p>
        </w:tc>
        <w:tc>
          <w:tcPr>
            <w:tcW w:w="992" w:type="dxa"/>
            <w:vAlign w:val="center"/>
          </w:tcPr>
          <w:p>
            <w:pPr>
              <w:widowControl/>
              <w:jc w:val="center"/>
              <w:rPr>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千人养老机构床位数（张）</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45</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50</w:t>
            </w:r>
          </w:p>
        </w:tc>
        <w:tc>
          <w:tcPr>
            <w:tcW w:w="992" w:type="dxa"/>
            <w:vAlign w:val="center"/>
          </w:tcPr>
          <w:p>
            <w:pPr>
              <w:widowControl/>
              <w:jc w:val="center"/>
              <w:rPr>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widowControl/>
              <w:spacing w:line="560" w:lineRule="exact"/>
              <w:ind w:firstLine="480"/>
              <w:jc w:val="left"/>
              <w:rPr>
                <w:rFonts w:ascii="仿宋_GB2312"/>
                <w:color w:val="000000"/>
                <w:kern w:val="0"/>
                <w:sz w:val="24"/>
              </w:rPr>
            </w:pP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每千人口拥有执业</w:t>
            </w:r>
            <w:r>
              <w:rPr>
                <w:rFonts w:ascii="仿宋_GB2312" w:eastAsia="仿宋_GB2312" w:cs="仿宋_GB2312"/>
                <w:color w:val="000000"/>
                <w:kern w:val="0"/>
                <w:sz w:val="24"/>
              </w:rPr>
              <w:t>(</w:t>
            </w:r>
            <w:r>
              <w:rPr>
                <w:rFonts w:hint="eastAsia" w:ascii="仿宋_GB2312" w:eastAsia="仿宋_GB2312" w:cs="仿宋_GB2312"/>
                <w:color w:val="000000"/>
                <w:kern w:val="0"/>
                <w:sz w:val="24"/>
              </w:rPr>
              <w:t>助理</w:t>
            </w:r>
            <w:r>
              <w:rPr>
                <w:rFonts w:ascii="仿宋_GB2312" w:eastAsia="仿宋_GB2312" w:cs="仿宋_GB2312"/>
                <w:color w:val="000000"/>
                <w:kern w:val="0"/>
                <w:sz w:val="24"/>
              </w:rPr>
              <w:t>)</w:t>
            </w:r>
            <w:r>
              <w:rPr>
                <w:rFonts w:hint="eastAsia" w:ascii="仿宋_GB2312" w:eastAsia="仿宋_GB2312" w:cs="仿宋_GB2312"/>
                <w:color w:val="000000"/>
                <w:kern w:val="0"/>
                <w:sz w:val="24"/>
              </w:rPr>
              <w:t>医师数（个）</w:t>
            </w:r>
          </w:p>
        </w:tc>
        <w:tc>
          <w:tcPr>
            <w:tcW w:w="1452"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1.9</w:t>
            </w:r>
          </w:p>
        </w:tc>
        <w:tc>
          <w:tcPr>
            <w:tcW w:w="1134" w:type="dxa"/>
            <w:vAlign w:val="center"/>
          </w:tcPr>
          <w:p>
            <w:pPr>
              <w:widowControl/>
              <w:jc w:val="center"/>
              <w:rPr>
                <w:rFonts w:ascii="仿宋_GB2312" w:eastAsia="仿宋_GB2312"/>
                <w:color w:val="000000"/>
                <w:kern w:val="0"/>
                <w:sz w:val="24"/>
              </w:rPr>
            </w:pPr>
            <w:r>
              <w:rPr>
                <w:rFonts w:ascii="仿宋_GB2312" w:eastAsia="仿宋_GB2312" w:cs="仿宋_GB2312"/>
                <w:color w:val="000000"/>
                <w:kern w:val="0"/>
                <w:sz w:val="24"/>
              </w:rPr>
              <w:t>2.9</w:t>
            </w:r>
          </w:p>
        </w:tc>
        <w:tc>
          <w:tcPr>
            <w:tcW w:w="992" w:type="dxa"/>
            <w:vAlign w:val="center"/>
          </w:tcPr>
          <w:p>
            <w:pPr>
              <w:widowControl/>
              <w:jc w:val="center"/>
              <w:rPr>
                <w:color w:val="000000"/>
                <w:kern w:val="0"/>
                <w:sz w:val="24"/>
              </w:rPr>
            </w:pPr>
            <w:r>
              <w:rPr>
                <w:rFonts w:eastAsia="黑体"/>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46" w:type="dxa"/>
            <w:vAlign w:val="center"/>
          </w:tcPr>
          <w:p>
            <w:pPr>
              <w:jc w:val="left"/>
              <w:rPr>
                <w:rFonts w:ascii="黑体" w:hAnsi="黑体" w:eastAsia="黑体"/>
                <w:color w:val="000000"/>
                <w:kern w:val="0"/>
                <w:sz w:val="24"/>
              </w:rPr>
            </w:pPr>
            <w:r>
              <w:rPr>
                <w:rFonts w:hint="eastAsia" w:ascii="黑体" w:hAnsi="黑体" w:eastAsia="黑体" w:cs="黑体"/>
                <w:color w:val="000000"/>
                <w:kern w:val="0"/>
                <w:sz w:val="24"/>
              </w:rPr>
              <w:t>安全保障</w:t>
            </w:r>
          </w:p>
        </w:tc>
        <w:tc>
          <w:tcPr>
            <w:tcW w:w="778" w:type="dxa"/>
            <w:vAlign w:val="center"/>
          </w:tcPr>
          <w:p>
            <w:pPr>
              <w:pStyle w:val="25"/>
              <w:widowControl/>
              <w:numPr>
                <w:ilvl w:val="0"/>
                <w:numId w:val="5"/>
              </w:numPr>
              <w:rPr>
                <w:rFonts w:ascii="仿宋_GB2312" w:hAnsi="等线" w:cs="Times New Roman"/>
                <w:color w:val="000000"/>
                <w:kern w:val="0"/>
                <w:sz w:val="24"/>
                <w:szCs w:val="24"/>
              </w:rPr>
            </w:pPr>
          </w:p>
        </w:tc>
        <w:tc>
          <w:tcPr>
            <w:tcW w:w="3084" w:type="dxa"/>
            <w:noWrap/>
            <w:vAlign w:val="center"/>
          </w:tcPr>
          <w:p>
            <w:pPr>
              <w:widowControl/>
              <w:jc w:val="left"/>
              <w:rPr>
                <w:rFonts w:ascii="仿宋_GB2312" w:eastAsia="仿宋_GB2312"/>
                <w:color w:val="000000"/>
                <w:kern w:val="0"/>
                <w:sz w:val="24"/>
              </w:rPr>
            </w:pPr>
            <w:r>
              <w:rPr>
                <w:rFonts w:hint="eastAsia" w:ascii="仿宋_GB2312" w:eastAsia="仿宋_GB2312" w:cs="仿宋_GB2312"/>
                <w:color w:val="000000"/>
                <w:kern w:val="0"/>
                <w:sz w:val="24"/>
              </w:rPr>
              <w:t>粮食综合生产能力（亿斤）</w:t>
            </w:r>
          </w:p>
        </w:tc>
        <w:tc>
          <w:tcPr>
            <w:tcW w:w="1452"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1.453</w:t>
            </w:r>
          </w:p>
        </w:tc>
        <w:tc>
          <w:tcPr>
            <w:tcW w:w="1134" w:type="dxa"/>
            <w:vAlign w:val="center"/>
          </w:tcPr>
          <w:p>
            <w:pPr>
              <w:widowControl/>
              <w:jc w:val="center"/>
              <w:rPr>
                <w:rFonts w:ascii="仿宋_GB2312" w:eastAsia="仿宋_GB2312" w:cs="仿宋_GB2312"/>
                <w:color w:val="000000"/>
                <w:kern w:val="0"/>
                <w:sz w:val="24"/>
              </w:rPr>
            </w:pPr>
            <w:r>
              <w:rPr>
                <w:rFonts w:ascii="仿宋_GB2312" w:eastAsia="仿宋_GB2312" w:cs="仿宋_GB2312"/>
                <w:color w:val="000000"/>
                <w:kern w:val="0"/>
                <w:sz w:val="24"/>
              </w:rPr>
              <w:t>1.478</w:t>
            </w:r>
          </w:p>
        </w:tc>
        <w:tc>
          <w:tcPr>
            <w:tcW w:w="992" w:type="dxa"/>
            <w:vAlign w:val="center"/>
          </w:tcPr>
          <w:p>
            <w:pPr>
              <w:widowControl/>
              <w:jc w:val="center"/>
              <w:rPr>
                <w:rFonts w:ascii="仿宋_GB2312" w:eastAsia="仿宋_GB2312"/>
                <w:color w:val="000000"/>
                <w:kern w:val="0"/>
                <w:sz w:val="24"/>
              </w:rPr>
            </w:pPr>
            <w:r>
              <w:rPr>
                <w:rFonts w:ascii="仿宋_GB2312" w:eastAsia="仿宋_GB2312"/>
                <w:color w:val="000000"/>
                <w:kern w:val="0"/>
                <w:sz w:val="24"/>
              </w:rPr>
              <w:t>—</w:t>
            </w:r>
          </w:p>
        </w:tc>
        <w:tc>
          <w:tcPr>
            <w:tcW w:w="991" w:type="dxa"/>
            <w:vAlign w:val="center"/>
          </w:tcPr>
          <w:p>
            <w:pPr>
              <w:widowControl/>
              <w:jc w:val="center"/>
              <w:rPr>
                <w:rFonts w:ascii="仿宋_GB2312" w:eastAsia="仿宋_GB2312"/>
                <w:color w:val="000000"/>
                <w:kern w:val="0"/>
                <w:sz w:val="24"/>
              </w:rPr>
            </w:pPr>
            <w:r>
              <w:rPr>
                <w:rFonts w:hint="eastAsia" w:ascii="仿宋_GB2312" w:eastAsia="仿宋_GB2312" w:cs="仿宋_GB2312"/>
                <w:color w:val="000000"/>
                <w:kern w:val="0"/>
                <w:sz w:val="24"/>
              </w:rPr>
              <w:t>约束性</w:t>
            </w:r>
          </w:p>
        </w:tc>
      </w:tr>
    </w:tbl>
    <w:p>
      <w:pPr>
        <w:spacing w:line="560" w:lineRule="exact"/>
        <w:rPr>
          <w:rFonts w:ascii="仿宋_GB2312" w:eastAsia="仿宋_GB2312"/>
          <w:sz w:val="24"/>
        </w:rPr>
      </w:pPr>
      <w:r>
        <w:rPr>
          <w:rFonts w:hint="eastAsia" w:ascii="仿宋_GB2312" w:eastAsia="仿宋_GB2312" w:cs="仿宋_GB2312"/>
          <w:sz w:val="24"/>
        </w:rPr>
        <w:t>备注：标</w:t>
      </w:r>
      <w:r>
        <w:rPr>
          <w:rFonts w:ascii="仿宋_GB2312" w:eastAsia="仿宋_GB2312" w:cs="仿宋_GB2312"/>
          <w:sz w:val="24"/>
        </w:rPr>
        <w:t>*</w:t>
      </w:r>
      <w:r>
        <w:rPr>
          <w:rFonts w:hint="eastAsia" w:ascii="仿宋_GB2312" w:eastAsia="仿宋_GB2312" w:cs="仿宋_GB2312"/>
          <w:sz w:val="24"/>
        </w:rPr>
        <w:t>的数据为</w:t>
      </w:r>
      <w:r>
        <w:rPr>
          <w:rFonts w:ascii="仿宋_GB2312" w:eastAsia="仿宋_GB2312" w:cs="仿宋_GB2312"/>
          <w:sz w:val="24"/>
        </w:rPr>
        <w:t>2019</w:t>
      </w:r>
      <w:r>
        <w:rPr>
          <w:rFonts w:hint="eastAsia" w:ascii="仿宋_GB2312" w:eastAsia="仿宋_GB2312" w:cs="仿宋_GB2312"/>
          <w:sz w:val="24"/>
        </w:rPr>
        <w:t>年数据</w:t>
      </w:r>
    </w:p>
    <w:p>
      <w:pPr>
        <w:spacing w:line="560" w:lineRule="exact"/>
        <w:rPr>
          <w:rFonts w:ascii="仿宋_GB2312" w:eastAsia="仿宋_GB2312"/>
          <w:sz w:val="24"/>
        </w:rPr>
      </w:pPr>
    </w:p>
    <w:p>
      <w:pPr>
        <w:pStyle w:val="2"/>
        <w:spacing w:before="156" w:after="156" w:line="560" w:lineRule="exact"/>
        <w:ind w:left="426" w:hanging="426"/>
        <w:rPr>
          <w:rFonts w:ascii="方正小标宋_GBK" w:eastAsia="方正小标宋_GBK" w:cs="Times New Roman"/>
          <w:color w:val="000000"/>
          <w:sz w:val="36"/>
          <w:szCs w:val="36"/>
        </w:rPr>
      </w:pPr>
      <w:bookmarkStart w:id="38" w:name="_Toc72935884"/>
      <w:r>
        <w:rPr>
          <w:rFonts w:hint="eastAsia" w:ascii="方正小标宋_GBK" w:eastAsia="方正小标宋_GBK" w:cs="方正小标宋_GBK"/>
          <w:color w:val="000000"/>
          <w:sz w:val="36"/>
          <w:szCs w:val="36"/>
        </w:rPr>
        <w:t>高质量完成“十四五”重点任务和重大举措</w:t>
      </w:r>
      <w:bookmarkEnd w:id="38"/>
    </w:p>
    <w:p>
      <w:pPr>
        <w:pStyle w:val="3"/>
        <w:numPr>
          <w:ilvl w:val="0"/>
          <w:numId w:val="6"/>
        </w:numPr>
        <w:spacing w:before="156" w:after="156" w:line="560" w:lineRule="exact"/>
        <w:ind w:left="426" w:hanging="426"/>
        <w:rPr>
          <w:rFonts w:cs="Times New Roman"/>
          <w:color w:val="000000"/>
        </w:rPr>
      </w:pPr>
      <w:bookmarkStart w:id="39" w:name="_Toc72935885"/>
      <w:r>
        <w:rPr>
          <w:rFonts w:hint="eastAsia" w:cs="黑体"/>
          <w:color w:val="000000"/>
        </w:rPr>
        <w:t>加快形成现代产业体系</w:t>
      </w:r>
      <w:bookmarkEnd w:id="39"/>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以数字产业为先导，围绕先进制造业数字化智能化，加快发展现代服务业，增强产业承接能力，提高产业基础高级化、产业链现代化发展水平。</w:t>
      </w:r>
    </w:p>
    <w:p>
      <w:pPr>
        <w:pStyle w:val="4"/>
        <w:numPr>
          <w:ilvl w:val="0"/>
          <w:numId w:val="7"/>
        </w:numPr>
        <w:spacing w:before="156" w:after="156" w:line="560" w:lineRule="exact"/>
        <w:ind w:left="426"/>
        <w:rPr>
          <w:rFonts w:cs="Times New Roman"/>
          <w:color w:val="000000"/>
        </w:rPr>
      </w:pPr>
      <w:bookmarkStart w:id="40" w:name="_Toc72935886"/>
      <w:r>
        <w:rPr>
          <w:rFonts w:hint="eastAsia" w:cs="楷体"/>
          <w:color w:val="000000"/>
        </w:rPr>
        <w:t>培育壮大主导产业</w:t>
      </w:r>
      <w:bookmarkEnd w:id="40"/>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持续提升主导产业在经济发展中的支柱地位和辐射带动作用，以电子信息、汽车配件、装备制造产业为重点，以绿色有机食品加工企业为主体，推动智能制造、绿色有机食品加工两大主导产业发展，</w:t>
      </w:r>
      <w:bookmarkStart w:id="41" w:name="_Hlk54683162"/>
      <w:r>
        <w:rPr>
          <w:rFonts w:hint="eastAsia" w:ascii="仿宋_GB2312" w:eastAsia="仿宋_GB2312" w:cs="仿宋_GB2312"/>
          <w:color w:val="000000"/>
          <w:sz w:val="32"/>
          <w:szCs w:val="32"/>
        </w:rPr>
        <w:t>促进产业发展能级不断提升。到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年，力争休宁实现规上工业产值</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亿元，规上企业达</w:t>
      </w:r>
      <w:r>
        <w:rPr>
          <w:rFonts w:ascii="仿宋_GB2312" w:eastAsia="仿宋_GB2312" w:cs="仿宋_GB2312"/>
          <w:color w:val="000000"/>
          <w:sz w:val="32"/>
          <w:szCs w:val="32"/>
        </w:rPr>
        <w:t>100</w:t>
      </w:r>
      <w:r>
        <w:rPr>
          <w:rFonts w:hint="eastAsia" w:ascii="仿宋_GB2312" w:eastAsia="仿宋_GB2312" w:cs="仿宋_GB2312"/>
          <w:color w:val="000000"/>
          <w:sz w:val="32"/>
          <w:szCs w:val="32"/>
        </w:rPr>
        <w:t>户，</w:t>
      </w:r>
      <w:bookmarkStart w:id="42" w:name="_Hlk61965666"/>
      <w:r>
        <w:rPr>
          <w:rFonts w:hint="eastAsia" w:ascii="仿宋_GB2312" w:eastAsia="仿宋_GB2312" w:cs="仿宋_GB2312"/>
          <w:color w:val="000000"/>
          <w:sz w:val="32"/>
          <w:szCs w:val="32"/>
        </w:rPr>
        <w:t>高新技术企业达</w:t>
      </w:r>
      <w:r>
        <w:rPr>
          <w:rFonts w:ascii="仿宋_GB2312" w:eastAsia="仿宋_GB2312" w:cs="仿宋_GB2312"/>
          <w:color w:val="000000"/>
          <w:sz w:val="32"/>
          <w:szCs w:val="32"/>
        </w:rPr>
        <w:t>30</w:t>
      </w:r>
      <w:r>
        <w:rPr>
          <w:rFonts w:hint="eastAsia" w:ascii="仿宋_GB2312" w:eastAsia="仿宋_GB2312" w:cs="仿宋_GB2312"/>
          <w:color w:val="000000"/>
          <w:sz w:val="32"/>
          <w:szCs w:val="32"/>
        </w:rPr>
        <w:t>户，</w:t>
      </w:r>
      <w:bookmarkEnd w:id="42"/>
      <w:r>
        <w:rPr>
          <w:rFonts w:hint="eastAsia" w:ascii="仿宋_GB2312" w:eastAsia="仿宋_GB2312" w:cs="仿宋_GB2312"/>
          <w:color w:val="000000"/>
          <w:sz w:val="32"/>
          <w:szCs w:val="32"/>
        </w:rPr>
        <w:t>战新企业达</w:t>
      </w:r>
      <w:r>
        <w:rPr>
          <w:rFonts w:ascii="仿宋_GB2312" w:eastAsia="仿宋_GB2312" w:cs="仿宋_GB2312"/>
          <w:color w:val="000000"/>
          <w:sz w:val="32"/>
          <w:szCs w:val="32"/>
        </w:rPr>
        <w:t>22</w:t>
      </w:r>
      <w:r>
        <w:rPr>
          <w:rFonts w:hint="eastAsia" w:ascii="仿宋_GB2312" w:eastAsia="仿宋_GB2312" w:cs="仿宋_GB2312"/>
          <w:color w:val="000000"/>
          <w:sz w:val="32"/>
          <w:szCs w:val="32"/>
        </w:rPr>
        <w:t>户，新增亿元以上企业</w:t>
      </w:r>
      <w:r>
        <w:rPr>
          <w:rFonts w:ascii="仿宋_GB2312" w:eastAsia="仿宋_GB2312" w:cs="仿宋_GB2312"/>
          <w:color w:val="000000"/>
          <w:sz w:val="32"/>
          <w:szCs w:val="32"/>
        </w:rPr>
        <w:t>5</w:t>
      </w:r>
      <w:r>
        <w:rPr>
          <w:rFonts w:hint="eastAsia" w:ascii="仿宋_GB2312" w:eastAsia="仿宋_GB2312" w:cs="仿宋_GB2312"/>
          <w:color w:val="000000"/>
          <w:sz w:val="32"/>
          <w:szCs w:val="32"/>
        </w:rPr>
        <w:t>户，</w:t>
      </w:r>
      <w:r>
        <w:rPr>
          <w:rFonts w:ascii="仿宋_GB2312" w:eastAsia="仿宋_GB2312" w:cs="仿宋_GB2312"/>
          <w:color w:val="000000"/>
          <w:sz w:val="32"/>
          <w:szCs w:val="32"/>
        </w:rPr>
        <w:t>5</w:t>
      </w:r>
      <w:r>
        <w:rPr>
          <w:rFonts w:hint="eastAsia" w:ascii="仿宋_GB2312" w:eastAsia="仿宋_GB2312" w:cs="仿宋_GB2312"/>
          <w:color w:val="000000"/>
          <w:sz w:val="32"/>
          <w:szCs w:val="32"/>
        </w:rPr>
        <w:t>亿元以上企业</w:t>
      </w:r>
      <w:r>
        <w:rPr>
          <w:rFonts w:ascii="仿宋_GB2312" w:eastAsia="仿宋_GB2312" w:cs="仿宋_GB2312"/>
          <w:color w:val="000000"/>
          <w:sz w:val="32"/>
          <w:szCs w:val="32"/>
        </w:rPr>
        <w:t>1</w:t>
      </w:r>
      <w:r>
        <w:rPr>
          <w:rFonts w:hint="eastAsia" w:ascii="仿宋_GB2312" w:eastAsia="仿宋_GB2312" w:cs="仿宋_GB2312"/>
          <w:color w:val="000000"/>
          <w:sz w:val="32"/>
          <w:szCs w:val="32"/>
        </w:rPr>
        <w:t>户。</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智能制造产业。</w:t>
      </w:r>
      <w:r>
        <w:rPr>
          <w:rFonts w:hint="eastAsia" w:ascii="仿宋_GB2312" w:eastAsia="仿宋_GB2312" w:cs="仿宋_GB2312"/>
          <w:color w:val="000000"/>
          <w:sz w:val="32"/>
          <w:szCs w:val="32"/>
        </w:rPr>
        <w:t>突出智能化、数字化赋能制造业转型升级，加快实施一批智能制造和工业技改项目，推动休宁智能制造产业高质量发展。壮大汽车配件产业，以昌辉、奥特斯等企业为龙头，优先发展汽车配件关联企业，抓好产业链招商，做好补链、延链、强链，以汽车电子和新能源汽车关键零部件为突破，鼓励向“卡脖子”零部件制造业延伸，推进汽车智能、车载网络设备领域布局。持续发展电子信息产业，以金视界、展硕、凯盛信息等企业为主要支撑，加大电子信息产业招商力度，推动龙头企业</w:t>
      </w:r>
      <w:r>
        <w:rPr>
          <w:rFonts w:ascii="仿宋_GB2312" w:eastAsia="仿宋_GB2312" w:cs="仿宋_GB2312"/>
          <w:color w:val="000000"/>
          <w:sz w:val="32"/>
          <w:szCs w:val="32"/>
        </w:rPr>
        <w:t>+</w:t>
      </w:r>
      <w:r>
        <w:rPr>
          <w:rFonts w:hint="eastAsia" w:ascii="仿宋_GB2312" w:eastAsia="仿宋_GB2312" w:cs="仿宋_GB2312"/>
          <w:color w:val="000000"/>
          <w:sz w:val="32"/>
          <w:szCs w:val="32"/>
        </w:rPr>
        <w:t>配套全产业链建设，推动电子信息产业集聚发展。做大做强装备制造产业，以三佳谊华、汇润机械、黄山华能为龙头，丰富产品种类、强化装备制造工艺，引导和鼓励企业走“专精特新”发展道路，大力发展具有自主知识产权的品牌和核心技术，培育壮大智能制造产业。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年，智能制造产业产值达到</w:t>
      </w:r>
      <w:r>
        <w:rPr>
          <w:rFonts w:ascii="仿宋_GB2312" w:eastAsia="仿宋_GB2312" w:cs="仿宋_GB2312"/>
          <w:color w:val="000000"/>
          <w:sz w:val="32"/>
          <w:szCs w:val="32"/>
        </w:rPr>
        <w:t>20</w:t>
      </w:r>
      <w:r>
        <w:rPr>
          <w:rFonts w:hint="eastAsia" w:ascii="仿宋_GB2312" w:eastAsia="仿宋_GB2312" w:cs="仿宋_GB2312"/>
          <w:color w:val="000000"/>
          <w:sz w:val="32"/>
          <w:szCs w:val="32"/>
        </w:rPr>
        <w:t>亿元以上。</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绿色有机食品加工产业。</w:t>
      </w:r>
      <w:r>
        <w:rPr>
          <w:rFonts w:hint="eastAsia" w:ascii="仿宋_GB2312" w:eastAsia="仿宋_GB2312" w:cs="仿宋_GB2312"/>
          <w:color w:val="000000"/>
          <w:sz w:val="32"/>
          <w:szCs w:val="32"/>
        </w:rPr>
        <w:t>“十四五”时期，推动实施一批绿色有机食品加工产业升级项目，持续推进农产品“五个一批”工程建设，建成一批专业村镇和乡镇农产品加工集聚区，发展茶叶、茶干、菊花、油茶等农产品精深加工，开展茶叶、菊花加工清洁化改造，以新安源有机茶、松萝茶业、佳龙茶干等农业产业化龙头企业为支撑，推动茶叶精深加工、茶干等一批产业龙头企业技改项目实施，促进生产过程自动化、智能化、数字化，推动茶叶、茶油产量稳定增长，着重发展水饮料产业，鼓励六股尖山泉水拓展产品种类，开发高端饮用水品牌，引导迎客松啤酒有效融通供需链，全面提升品牌价值。推动泉水鱼向精深加工转变，“吃干榨尽”各类绿色有机原材料价值，推进长三角绿色农产品生产加工供应基地“</w:t>
      </w:r>
      <w:r>
        <w:rPr>
          <w:rFonts w:ascii="仿宋_GB2312" w:eastAsia="仿宋_GB2312" w:cs="仿宋_GB2312"/>
          <w:color w:val="000000"/>
          <w:sz w:val="32"/>
          <w:szCs w:val="32"/>
        </w:rPr>
        <w:t>158</w:t>
      </w:r>
      <w:r>
        <w:rPr>
          <w:rFonts w:hint="eastAsia" w:ascii="仿宋_GB2312" w:eastAsia="仿宋_GB2312" w:cs="仿宋_GB2312"/>
          <w:color w:val="000000"/>
          <w:sz w:val="32"/>
          <w:szCs w:val="32"/>
        </w:rPr>
        <w:t>”行动计划建设，实现绿色有机食品加工产业跨越式发展。到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年，绿色有机食品加工产业产值达到</w:t>
      </w:r>
      <w:r>
        <w:rPr>
          <w:rFonts w:ascii="仿宋_GB2312" w:eastAsia="仿宋_GB2312" w:cs="仿宋_GB2312"/>
          <w:color w:val="000000"/>
          <w:sz w:val="32"/>
          <w:szCs w:val="32"/>
        </w:rPr>
        <w:t>30</w:t>
      </w:r>
      <w:r>
        <w:rPr>
          <w:rFonts w:hint="eastAsia" w:ascii="仿宋_GB2312" w:eastAsia="仿宋_GB2312" w:cs="仿宋_GB2312"/>
          <w:color w:val="000000"/>
          <w:sz w:val="32"/>
          <w:szCs w:val="32"/>
        </w:rPr>
        <w:t>亿元以上。</w:t>
      </w:r>
      <w:bookmarkEnd w:id="41"/>
    </w:p>
    <w:p>
      <w:pPr>
        <w:spacing w:line="560" w:lineRule="exact"/>
        <w:ind w:firstLine="642" w:firstLineChars="200"/>
        <w:rPr>
          <w:rFonts w:ascii="仿宋_GB2312" w:eastAsia="仿宋_GB2312"/>
          <w:color w:val="000000"/>
          <w:sz w:val="30"/>
          <w:szCs w:val="30"/>
        </w:rPr>
      </w:pPr>
      <w:bookmarkStart w:id="43" w:name="_Toc55190864"/>
      <w:bookmarkStart w:id="44" w:name="_Toc55209041"/>
      <w:bookmarkStart w:id="45" w:name="_Hlk54683306"/>
      <w:r>
        <w:rPr>
          <w:rFonts w:hint="eastAsia" w:ascii="楷体" w:hAnsi="楷体" w:eastAsia="楷体" w:cs="楷体"/>
          <w:b/>
          <w:bCs/>
          <w:color w:val="000000"/>
          <w:sz w:val="32"/>
          <w:szCs w:val="32"/>
        </w:rPr>
        <w:t>加快产业集群发展</w:t>
      </w:r>
      <w:bookmarkEnd w:id="43"/>
      <w:bookmarkEnd w:id="4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扶持商山镇眉茶加工产业发展，以开神茶叶、友宸茶叶等企业为龙头，以“茶叶加工”特色产业专业镇为基础，推动眉茶小镇建设，积极谋划眉茶产业园。推动五城镇绿色食品加工产业发展，以佳龙、将军米酒为龙头，以豆干、米酒专业户为基础，发挥“五城茶干”“五城米酒”国家地理标志优势，做大绿色食品加工产业。支持东临溪镇依托区位优势，引入总部经济，重点发展数字经济、孵化器、众创空间，积极招才引智，孵化一批数字服务型、科技型、创新型企业。</w:t>
      </w:r>
      <w:bookmarkEnd w:id="45"/>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产业现代化改造提升工程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智能制造产业：</w:t>
            </w:r>
            <w:r>
              <w:rPr>
                <w:rFonts w:hint="eastAsia" w:ascii="仿宋_GB2312" w:cs="仿宋_GB2312"/>
                <w:color w:val="000000"/>
                <w:sz w:val="24"/>
                <w:szCs w:val="24"/>
              </w:rPr>
              <w:t>电子信息智慧产业园项目、黄山智能化仪表产业园项目、京阪日本工业园、中建新材料园区二期项目、年产</w:t>
            </w:r>
            <w:r>
              <w:rPr>
                <w:rFonts w:ascii="仿宋_GB2312" w:cs="仿宋_GB2312"/>
                <w:color w:val="000000"/>
                <w:sz w:val="24"/>
                <w:szCs w:val="24"/>
              </w:rPr>
              <w:t>6000</w:t>
            </w:r>
            <w:r>
              <w:rPr>
                <w:rFonts w:hint="eastAsia" w:ascii="仿宋_GB2312" w:cs="仿宋_GB2312"/>
                <w:color w:val="000000"/>
                <w:sz w:val="24"/>
                <w:szCs w:val="24"/>
              </w:rPr>
              <w:t>吨精致阀门生产线项目、万泰丰</w:t>
            </w:r>
            <w:r>
              <w:rPr>
                <w:rFonts w:ascii="仿宋_GB2312" w:cs="仿宋_GB2312"/>
                <w:color w:val="000000"/>
                <w:sz w:val="24"/>
                <w:szCs w:val="24"/>
              </w:rPr>
              <w:t>COF</w:t>
            </w:r>
            <w:r>
              <w:rPr>
                <w:rFonts w:hint="eastAsia" w:ascii="仿宋_GB2312" w:cs="仿宋_GB2312"/>
                <w:color w:val="000000"/>
                <w:sz w:val="24"/>
                <w:szCs w:val="24"/>
              </w:rPr>
              <w:t>项目、昌维智能汽车配件、油田开采钻修井自动化设备项目、日本金融结算与智能终端黄山生产基地项目、标准化汽车零部件生产项目、年产</w:t>
            </w:r>
            <w:r>
              <w:rPr>
                <w:rFonts w:ascii="仿宋_GB2312" w:cs="仿宋_GB2312"/>
                <w:color w:val="000000"/>
                <w:sz w:val="24"/>
                <w:szCs w:val="24"/>
              </w:rPr>
              <w:t>10</w:t>
            </w:r>
            <w:r>
              <w:rPr>
                <w:rFonts w:hint="eastAsia" w:ascii="仿宋_GB2312" w:cs="仿宋_GB2312"/>
                <w:color w:val="000000"/>
                <w:sz w:val="24"/>
                <w:szCs w:val="24"/>
              </w:rPr>
              <w:t>万套消防呼吸防护自救器项目。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绿色有机食品加工产业：</w:t>
            </w:r>
            <w:r>
              <w:rPr>
                <w:rFonts w:hint="eastAsia" w:ascii="仿宋_GB2312" w:cs="仿宋_GB2312"/>
                <w:color w:val="000000"/>
                <w:sz w:val="24"/>
                <w:szCs w:val="24"/>
              </w:rPr>
              <w:t>新安源年产</w:t>
            </w:r>
            <w:r>
              <w:rPr>
                <w:rFonts w:ascii="仿宋_GB2312" w:cs="仿宋_GB2312"/>
                <w:color w:val="000000"/>
                <w:sz w:val="24"/>
                <w:szCs w:val="24"/>
              </w:rPr>
              <w:t>5000</w:t>
            </w:r>
            <w:r>
              <w:rPr>
                <w:rFonts w:hint="eastAsia" w:ascii="仿宋_GB2312" w:cs="仿宋_GB2312"/>
                <w:color w:val="000000"/>
                <w:sz w:val="24"/>
                <w:szCs w:val="24"/>
              </w:rPr>
              <w:t>吨有机茶叶精深加工及衍生产品研发生产基地项目、山泉水产业、众力食品加工项目、徽三农产品加工项目。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产业集群：</w:t>
            </w:r>
            <w:r>
              <w:rPr>
                <w:rFonts w:hint="eastAsia" w:ascii="仿宋_GB2312" w:cs="仿宋_GB2312"/>
                <w:color w:val="000000"/>
                <w:sz w:val="24"/>
                <w:szCs w:val="24"/>
              </w:rPr>
              <w:t>休宁县溪口镇汽配企业产业园区、</w:t>
            </w:r>
            <w:r>
              <w:rPr>
                <w:rFonts w:hint="eastAsia" w:ascii="仿宋_GB2312" w:cs="仿宋_GB2312"/>
                <w:color w:val="000000"/>
                <w:sz w:val="24"/>
                <w:szCs w:val="24"/>
                <w:shd w:val="clear" w:color="auto" w:fill="FFFFFF"/>
              </w:rPr>
              <w:t>休宁县五城镇农业产业强镇示范建设、</w:t>
            </w:r>
            <w:r>
              <w:rPr>
                <w:rFonts w:hint="eastAsia" w:ascii="仿宋_GB2312" w:cs="仿宋_GB2312"/>
                <w:color w:val="000000"/>
                <w:sz w:val="24"/>
                <w:szCs w:val="24"/>
              </w:rPr>
              <w:t>商山镇眉茶产业专业镇建设提升。</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工业技改：</w:t>
            </w:r>
            <w:r>
              <w:rPr>
                <w:rFonts w:hint="eastAsia" w:ascii="仿宋_GB2312" w:cs="仿宋_GB2312"/>
                <w:color w:val="000000"/>
                <w:sz w:val="24"/>
                <w:szCs w:val="24"/>
              </w:rPr>
              <w:t>璜茅凯盛石英技术改造和矿尾矿尾砂综合利用、昌辉</w:t>
            </w:r>
            <w:r>
              <w:rPr>
                <w:rFonts w:ascii="仿宋_GB2312" w:cs="仿宋_GB2312"/>
                <w:color w:val="000000"/>
                <w:sz w:val="24"/>
                <w:szCs w:val="24"/>
              </w:rPr>
              <w:t>JK7062</w:t>
            </w:r>
            <w:r>
              <w:rPr>
                <w:rFonts w:hint="eastAsia" w:ascii="仿宋_GB2312" w:cs="仿宋_GB2312"/>
                <w:color w:val="000000"/>
                <w:sz w:val="24"/>
                <w:szCs w:val="24"/>
              </w:rPr>
              <w:t>系列新能源汽车组合开关技术改造项目、三佳谊华超高速精密模具制造中心技改项目、奥特斯年产</w:t>
            </w:r>
            <w:r>
              <w:rPr>
                <w:rFonts w:ascii="仿宋_GB2312" w:cs="仿宋_GB2312"/>
                <w:color w:val="000000"/>
                <w:sz w:val="24"/>
                <w:szCs w:val="24"/>
              </w:rPr>
              <w:t>20</w:t>
            </w:r>
            <w:r>
              <w:rPr>
                <w:rFonts w:hint="eastAsia" w:ascii="仿宋_GB2312" w:cs="仿宋_GB2312"/>
                <w:color w:val="000000"/>
                <w:sz w:val="24"/>
                <w:szCs w:val="24"/>
              </w:rPr>
              <w:t>万套汽车室内智能系统顶灯控制总成项目。</w:t>
            </w:r>
          </w:p>
        </w:tc>
      </w:tr>
    </w:tbl>
    <w:p>
      <w:pPr>
        <w:pStyle w:val="4"/>
        <w:numPr>
          <w:ilvl w:val="0"/>
          <w:numId w:val="7"/>
        </w:numPr>
        <w:spacing w:before="156" w:after="156" w:line="560" w:lineRule="exact"/>
        <w:ind w:left="426"/>
        <w:rPr>
          <w:rFonts w:cs="Times New Roman"/>
          <w:color w:val="000000"/>
        </w:rPr>
      </w:pPr>
      <w:bookmarkStart w:id="46" w:name="_Toc72935887"/>
      <w:r>
        <w:rPr>
          <w:rFonts w:hint="eastAsia" w:cs="楷体"/>
          <w:color w:val="000000"/>
        </w:rPr>
        <w:t>大力发展生产性服务业</w:t>
      </w:r>
      <w:bookmarkEnd w:id="4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重点加快发展现代物流、科技服务、电子商务等重点行业，加快培育“四新经济”，形成特色鲜明、门类齐全、支撑有力、协同发展的生产性服务体系。</w:t>
      </w:r>
    </w:p>
    <w:p>
      <w:pPr>
        <w:spacing w:line="560" w:lineRule="exact"/>
        <w:ind w:firstLine="642" w:firstLineChars="200"/>
        <w:rPr>
          <w:rFonts w:ascii="仿宋_GB2312" w:eastAsia="仿宋_GB2312"/>
          <w:color w:val="000000"/>
          <w:sz w:val="32"/>
          <w:szCs w:val="32"/>
        </w:rPr>
      </w:pPr>
      <w:bookmarkStart w:id="47" w:name="_Toc55209043"/>
      <w:bookmarkStart w:id="48" w:name="_Toc56416766"/>
      <w:bookmarkStart w:id="49" w:name="_Toc55190866"/>
      <w:bookmarkStart w:id="50" w:name="_Hlk54684178"/>
      <w:r>
        <w:rPr>
          <w:rFonts w:hint="eastAsia" w:ascii="楷体" w:hAnsi="楷体" w:eastAsia="楷体" w:cs="楷体"/>
          <w:b/>
          <w:bCs/>
          <w:color w:val="000000"/>
          <w:sz w:val="32"/>
          <w:szCs w:val="32"/>
        </w:rPr>
        <w:t>优先发展现代物流业</w:t>
      </w:r>
      <w:bookmarkEnd w:id="47"/>
      <w:bookmarkEnd w:id="48"/>
      <w:bookmarkEnd w:id="4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动物流业重大项目实施，加快重点物流园区建设，促进第三方物流发展，推进智能机器人、智能仓储等设施建设与服务共享。深化交通网络体系建设，加大边远乡镇物流网点覆盖，重点打造东临溪镇仓储物流园建成黄山市区及周边区县仓储物流集散中心。以共建长三角</w:t>
      </w:r>
      <w:r>
        <w:rPr>
          <w:rFonts w:ascii="仿宋_GB2312" w:eastAsia="仿宋_GB2312" w:cs="仿宋_GB2312"/>
          <w:color w:val="000000"/>
          <w:sz w:val="32"/>
          <w:szCs w:val="32"/>
        </w:rPr>
        <w:t>3</w:t>
      </w:r>
      <w:r>
        <w:rPr>
          <w:rFonts w:hint="eastAsia" w:ascii="仿宋_GB2312" w:eastAsia="仿宋_GB2312" w:cs="仿宋_GB2312"/>
          <w:color w:val="000000"/>
          <w:sz w:val="32"/>
          <w:szCs w:val="32"/>
        </w:rPr>
        <w:t>小时鲜活农产品物流圈为依托，对外引进物流龙头企业，对内整合皖新物流园等物流资源，发展冷链物流，科学布局高新电子产品会展中心、农副产品加工包装中心、运输企业服务中心、综合管理服务中心。加快智慧物流发展，打造“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物流”平台，健全物流基础设施网络体系，促进智慧物流平台与电子商务平台对接，构建从生产端到流通端一体化的物流体系，推动高效物流领域实现突破。依托黄山高铁站、屯溪机场等大型交通枢纽和池黄高铁、皖赣铁路线，大力推进绿色（空铁）物流园建设，推动物流发展提级增效。</w:t>
      </w:r>
    </w:p>
    <w:p>
      <w:pPr>
        <w:spacing w:line="560" w:lineRule="exact"/>
        <w:ind w:firstLine="642" w:firstLineChars="200"/>
        <w:rPr>
          <w:rFonts w:ascii="仿宋_GB2312" w:eastAsia="仿宋_GB2312"/>
          <w:color w:val="000000"/>
          <w:sz w:val="30"/>
          <w:szCs w:val="30"/>
        </w:rPr>
      </w:pPr>
      <w:bookmarkStart w:id="51" w:name="_Toc55209045"/>
      <w:bookmarkStart w:id="52" w:name="_Toc56416767"/>
      <w:bookmarkStart w:id="53" w:name="_Toc55190868"/>
      <w:r>
        <w:rPr>
          <w:rFonts w:hint="eastAsia" w:ascii="楷体" w:hAnsi="楷体" w:eastAsia="楷体" w:cs="楷体"/>
          <w:b/>
          <w:bCs/>
          <w:color w:val="000000"/>
          <w:sz w:val="32"/>
          <w:szCs w:val="32"/>
        </w:rPr>
        <w:t>加快发展电子商务</w:t>
      </w:r>
      <w:bookmarkEnd w:id="51"/>
      <w:bookmarkEnd w:id="52"/>
      <w:bookmarkEnd w:id="53"/>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进建设具有多样化生活服务功能的电子商务平台，支持连锁企业、专业市场等传统流通企业依托线下资源优势开展电子商务，实现线上线下资源互补和应用协同，加快培育电商企业、电商品牌和电商经营主体，推动电商项目实施，以茶叶出口为抓手，培育壮大跨境电商。加快发展农村电子商务，实施农村电子商务提质增效行动，支持新型农业经营主体参与电子商务交易，依托农村商品流通服务体系建设，推进农村中心镇商贸中心、商品配送中心和中心村直营连锁店发展电子商务。巩固提升县电商产业园，完善电子商务基础设施，提高电商产业园吸引力、集聚力，做大做强休宁电子商务产业。</w:t>
      </w:r>
    </w:p>
    <w:bookmarkEnd w:id="50"/>
    <w:p>
      <w:pPr>
        <w:pStyle w:val="5"/>
        <w:spacing w:line="560" w:lineRule="exact"/>
        <w:ind w:firstLine="0"/>
        <w:jc w:val="center"/>
        <w:rPr>
          <w:rFonts w:ascii="黑体" w:hAnsi="黑体" w:eastAsia="黑体" w:cs="Times New Roman"/>
          <w:color w:val="000000"/>
          <w:shd w:val="clear" w:color="auto" w:fill="FFFFFF"/>
        </w:rPr>
      </w:pPr>
      <w:r>
        <w:rPr>
          <w:rFonts w:hint="eastAsia" w:ascii="黑体" w:hAnsi="黑体" w:eastAsia="黑体" w:cs="黑体"/>
          <w:color w:val="000000"/>
          <w:shd w:val="clear" w:color="auto" w:fill="FFFFFF"/>
        </w:rPr>
        <w:t>生产性服务业发展工程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物流：</w:t>
            </w:r>
            <w:r>
              <w:rPr>
                <w:rFonts w:hint="eastAsia" w:ascii="仿宋_GB2312" w:cs="仿宋_GB2312"/>
                <w:color w:val="000000"/>
                <w:sz w:val="24"/>
                <w:szCs w:val="24"/>
              </w:rPr>
              <w:t>绿色（空铁）物流园、东临溪镇仓储物流贸易区、农产品冷链物流工程、</w:t>
            </w:r>
            <w:r>
              <w:rPr>
                <w:rFonts w:hint="eastAsia" w:ascii="仿宋_GB2312" w:cs="仿宋_GB2312"/>
                <w:color w:val="000000"/>
                <w:sz w:val="24"/>
                <w:szCs w:val="24"/>
                <w:shd w:val="clear" w:color="auto" w:fill="FFFFFF"/>
              </w:rPr>
              <w:t>集镇农产品冷链物流中心建设、钢管脚手架仓储物流项目、黄山生猪定点屠宰加工及配套项目、月潭湖乡村物流园建设、板桥乡泉水鱼冷链物流基地。</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电商：</w:t>
            </w:r>
            <w:r>
              <w:rPr>
                <w:rFonts w:hint="eastAsia" w:ascii="仿宋_GB2312" w:cs="仿宋_GB2312"/>
                <w:color w:val="000000"/>
                <w:sz w:val="24"/>
                <w:szCs w:val="24"/>
              </w:rPr>
              <w:t>榆村乡、东临溪镇、齐云山镇（环居）电商产业。</w:t>
            </w:r>
          </w:p>
        </w:tc>
      </w:tr>
    </w:tbl>
    <w:p>
      <w:pPr>
        <w:pStyle w:val="4"/>
        <w:numPr>
          <w:ilvl w:val="0"/>
          <w:numId w:val="7"/>
        </w:numPr>
        <w:spacing w:before="156" w:after="156" w:line="560" w:lineRule="exact"/>
        <w:ind w:left="426"/>
        <w:rPr>
          <w:rFonts w:cs="Times New Roman"/>
          <w:color w:val="000000"/>
        </w:rPr>
      </w:pPr>
      <w:bookmarkStart w:id="54" w:name="_Toc72935888"/>
      <w:r>
        <w:rPr>
          <w:rFonts w:hint="eastAsia" w:cs="楷体"/>
          <w:color w:val="000000"/>
        </w:rPr>
        <w:t>积极发展数字产业</w:t>
      </w:r>
      <w:bookmarkEnd w:id="54"/>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持续推进数字产业化、产业数字化，加快培育发展新动能，推动数字产业重大项目建设，提高产业链供应链稳定性和竞争力，打造产业升级新引擎。</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推动产业数字化转型升级。</w:t>
      </w:r>
      <w:r>
        <w:rPr>
          <w:rFonts w:hint="eastAsia" w:ascii="仿宋_GB2312" w:eastAsia="仿宋_GB2312" w:cs="仿宋_GB2312"/>
          <w:color w:val="000000"/>
          <w:sz w:val="32"/>
          <w:szCs w:val="32"/>
        </w:rPr>
        <w:t>加快工业互联网平台赋能重点行业，不断推进企业上云，促进产业互联网、人工智能、</w:t>
      </w:r>
      <w:r>
        <w:rPr>
          <w:rFonts w:ascii="仿宋_GB2312" w:eastAsia="仿宋_GB2312" w:cs="仿宋_GB2312"/>
          <w:color w:val="000000"/>
          <w:sz w:val="32"/>
          <w:szCs w:val="32"/>
        </w:rPr>
        <w:t>VR</w:t>
      </w:r>
      <w:r>
        <w:rPr>
          <w:rFonts w:hint="eastAsia" w:ascii="仿宋_GB2312" w:eastAsia="仿宋_GB2312" w:cs="仿宋_GB2312"/>
          <w:color w:val="000000"/>
          <w:sz w:val="32"/>
          <w:szCs w:val="32"/>
        </w:rPr>
        <w:t>等新技术广泛应用，发挥数字技术创新能力，推动生产性服务业向专业化和高端化升级，助力生活性服务业向精细化和品质化转变，全面提升休宁产业智能化、高端化和集聚化水平。</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提升数字产业化发展水平。</w:t>
      </w:r>
      <w:r>
        <w:rPr>
          <w:rFonts w:hint="eastAsia" w:ascii="仿宋_GB2312" w:eastAsia="仿宋_GB2312" w:cs="仿宋_GB2312"/>
          <w:color w:val="000000"/>
          <w:sz w:val="32"/>
          <w:szCs w:val="32"/>
        </w:rPr>
        <w:t>加快互联网、云计算、大数据与实体经济深度融合，支持智能零售、在线消费、线上教育、远程办公、“宅经济”等新业态，引导培育一批大数据企业和科技型中小企业。加强与互联网和信息化领域企业合作，积极引入专业化大数据企业来休宁布局。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年，力争休宁数字产业发展水平跻身全市前列，数字经济产业体系较为完善，数字经济成为休宁经济发展重要增长部分。</w:t>
      </w:r>
    </w:p>
    <w:p>
      <w:pPr>
        <w:spacing w:line="560" w:lineRule="exact"/>
        <w:ind w:firstLine="600" w:firstLineChars="200"/>
        <w:rPr>
          <w:rFonts w:ascii="仿宋_GB2312" w:eastAsia="仿宋_GB2312"/>
          <w:color w:val="000000"/>
          <w:sz w:val="30"/>
          <w:szCs w:val="30"/>
        </w:rPr>
      </w:pPr>
    </w:p>
    <w:p>
      <w:pPr>
        <w:pStyle w:val="5"/>
        <w:spacing w:line="560" w:lineRule="exact"/>
        <w:ind w:firstLine="0"/>
        <w:jc w:val="center"/>
        <w:rPr>
          <w:rFonts w:ascii="黑体" w:hAnsi="黑体" w:eastAsia="黑体" w:cs="Times New Roman"/>
          <w:color w:val="000000"/>
        </w:rPr>
      </w:pPr>
      <w:bookmarkStart w:id="55" w:name="_Hlk56095342"/>
      <w:r>
        <w:rPr>
          <w:rFonts w:hint="eastAsia" w:ascii="黑体" w:hAnsi="黑体" w:eastAsia="黑体" w:cs="黑体"/>
          <w:color w:val="000000"/>
        </w:rPr>
        <w:t>数字产业培育工程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cs="Times New Roman"/>
                <w:color w:val="000000"/>
              </w:rPr>
            </w:pPr>
            <w:r>
              <w:rPr>
                <w:rFonts w:hint="eastAsia" w:ascii="仿宋_GB2312" w:cs="仿宋_GB2312"/>
                <w:b/>
                <w:bCs/>
                <w:color w:val="000000"/>
                <w:sz w:val="24"/>
                <w:szCs w:val="24"/>
              </w:rPr>
              <w:t>数字产业：</w:t>
            </w:r>
            <w:r>
              <w:rPr>
                <w:rFonts w:hint="eastAsia" w:ascii="仿宋_GB2312" w:cs="仿宋_GB2312"/>
                <w:color w:val="000000"/>
                <w:sz w:val="24"/>
                <w:szCs w:val="24"/>
              </w:rPr>
              <w:t>农业农村大数据应用与运营华东中心项目、航天遥感数据中心项目、中国电信休宁分公司云计算大数据中心。</w:t>
            </w:r>
          </w:p>
        </w:tc>
      </w:tr>
    </w:tbl>
    <w:p>
      <w:pPr>
        <w:pStyle w:val="4"/>
        <w:numPr>
          <w:ilvl w:val="0"/>
          <w:numId w:val="7"/>
        </w:numPr>
        <w:spacing w:before="156" w:after="156" w:line="560" w:lineRule="exact"/>
        <w:ind w:left="426"/>
        <w:rPr>
          <w:rFonts w:cs="Times New Roman"/>
          <w:color w:val="000000"/>
        </w:rPr>
      </w:pPr>
      <w:bookmarkStart w:id="56" w:name="_Toc72935889"/>
      <w:r>
        <w:rPr>
          <w:rFonts w:hint="eastAsia" w:cs="楷体"/>
          <w:color w:val="000000"/>
        </w:rPr>
        <w:t>巩固提升产业承接能力</w:t>
      </w:r>
      <w:bookmarkEnd w:id="5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围绕产业强县的发展战略，打造工业发展主战场，加快形成“一区三园”的空间布局，完善园区基础设施建设，增强休宁承接都市圈城市外溢产业承接能力，推动园区转型升级。力争到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年，园区规上工业企业数量、经营性收入、税收、国家核定面积实现翻番。</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智能制造产业园区。</w:t>
      </w:r>
      <w:r>
        <w:rPr>
          <w:rFonts w:hint="eastAsia" w:ascii="仿宋_GB2312" w:eastAsia="仿宋_GB2312" w:cs="仿宋_GB2312"/>
          <w:color w:val="000000"/>
          <w:sz w:val="32"/>
          <w:szCs w:val="32"/>
        </w:rPr>
        <w:t>以高新电子产业园为基础，高起点打造电子信息智慧产业园，积极对接长三角重点城市，着力引进汽车配件、电子信息、装备制造、集成电路产业入园，做好产业转移承接工作，加强产业链上下游联动，推动园区内配套企业不断做大做强。推进智能工厂、数字化车间、两化融合管理体系贯标企业建设，推动生产方式向柔性化、智能化、精细化转变，深入实施企业上云，支持企业利用工业互联网进行个性化需求对接和个性化产品研发，构建“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”发展模式。</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绿色有机食品加工产业园区。</w:t>
      </w:r>
      <w:r>
        <w:rPr>
          <w:rFonts w:hint="eastAsia" w:ascii="仿宋_GB2312" w:eastAsia="仿宋_GB2312" w:cs="仿宋_GB2312"/>
          <w:color w:val="000000"/>
          <w:sz w:val="32"/>
          <w:szCs w:val="32"/>
        </w:rPr>
        <w:t>围绕绿色食品加工产业集群专业镇企业，依托市绿色食品创新中心，鼓励引导企业搬迁入园，加快新安源、徽三农等园区外有机食品企业退城入园、退郊入园进程。积极引进绿色食品加工、销售、营销、物流优质企业，增强市场活力，加强绿色有机食品加工项目全环节跟踪服务，加强园区企业集聚和统一管理，提高绿色有机食品质量，打响“休宁绿色有机食品”品牌。</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茶产业园区。</w:t>
      </w:r>
      <w:r>
        <w:rPr>
          <w:rFonts w:hint="eastAsia" w:ascii="仿宋_GB2312" w:eastAsia="仿宋_GB2312" w:cs="仿宋_GB2312"/>
          <w:color w:val="000000"/>
          <w:sz w:val="32"/>
          <w:szCs w:val="32"/>
        </w:rPr>
        <w:t>高质量打造特色茶产业园区，加强资金、土地等要素保障，加大对小微型茶企业帮扶力度，引进成熟茶叶出口商和茶叶包装企业、检测中心、货运代理商，做强商山镇茶叶出口配套企业，不断做大休宁茶叶出口规模。支持扩大茶叶出口品牌效应，鼓励茶叶企业开发新产品，创新经营模式，统一园区内企业产品定价，促成园区茶叶企业抱团发展，形成对外竞争优势。</w:t>
      </w:r>
    </w:p>
    <w:p>
      <w:pPr>
        <w:spacing w:line="560" w:lineRule="exact"/>
        <w:ind w:firstLine="642" w:firstLineChars="200"/>
        <w:rPr>
          <w:rFonts w:ascii="仿宋_GB2312" w:eastAsia="仿宋_GB2312"/>
          <w:color w:val="000000"/>
          <w:sz w:val="32"/>
          <w:szCs w:val="32"/>
        </w:rPr>
      </w:pPr>
      <w:bookmarkStart w:id="57" w:name="_Toc55209049"/>
      <w:bookmarkStart w:id="58" w:name="_Toc55190872"/>
      <w:r>
        <w:rPr>
          <w:rFonts w:hint="eastAsia" w:ascii="楷体" w:hAnsi="楷体" w:eastAsia="楷体" w:cs="楷体"/>
          <w:b/>
          <w:bCs/>
          <w:color w:val="000000"/>
          <w:sz w:val="32"/>
          <w:szCs w:val="32"/>
        </w:rPr>
        <w:t>提升园区服务能力</w:t>
      </w:r>
      <w:bookmarkEnd w:id="57"/>
      <w:bookmarkEnd w:id="5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按照“东接绿色空铁物流园、北建电子信息智慧产业园”思路，加快尧舜、燕窝两大板块路网等基础设施建设，优化园区路网、雨污水管网规划，加快供水供电供气设施建设，积极推广集中供热，推动园区基础设施项目实施，拓展开发区发展规模和发展空间，夯实园区发展支撑。大力推进清洁生产，推行激励与约束并举的节能减排新机制。完善开发区管理体制，支持开发区在优化管委会内设机构设置、市场化选人用人、健全绩效激励机制等方面探索更加灵活高效的体制机制。进一步减少审批事项，简化办事程序，深化便捷式审批服务，全面推广“标准地”模式，推动企业“拿地即开工”，加强个性化服务和精细化管理，大力发展行业协会，加大对园区内项目建设情况的跟踪调度力度，建立健全项目建设调度会制度，保障项目顺利推进，奋力打造全市“融杭接沪”主平台，筑巢引凤。</w:t>
      </w:r>
    </w:p>
    <w:p>
      <w:pPr>
        <w:spacing w:line="560" w:lineRule="exact"/>
        <w:ind w:firstLine="642" w:firstLineChars="200"/>
        <w:rPr>
          <w:rFonts w:ascii="仿宋_GB2312" w:eastAsia="仿宋_GB2312"/>
          <w:color w:val="000000"/>
          <w:sz w:val="32"/>
          <w:szCs w:val="32"/>
        </w:rPr>
      </w:pPr>
      <w:bookmarkStart w:id="59" w:name="_Toc56416763"/>
      <w:r>
        <w:rPr>
          <w:rFonts w:hint="eastAsia" w:ascii="楷体" w:hAnsi="楷体" w:eastAsia="楷体" w:cs="楷体"/>
          <w:b/>
          <w:bCs/>
          <w:color w:val="000000"/>
          <w:sz w:val="32"/>
          <w:szCs w:val="32"/>
        </w:rPr>
        <w:t>加强优势企业培育</w:t>
      </w:r>
      <w:bookmarkEnd w:id="5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强化企业入规，加强拟入规企业培育库更新。落实县领导联系帮扶工业企业机制，加强要素保障，支持骨干工业企业加快发展，大力实施“市级队”企业培育计划。鼓励龙跃、天都物资加快转型升级，提升休宁铜行业发展水平。推动企业培育项目实施，持续开展“腾笼换鸟”，有序处置“僵尸企业”，推动实施“机器换人”，引导和支持中小企业走“专精特新”发展之路，实现制造业单项冠军、专精特新冠军企业、专精特新“小巨人”企业零突破。引导企业开展信息化和工业化两化融合管理体系标准建设，推进信息消费试点示范，培育信息消费相关产品和服务模式，支持开发“</w:t>
      </w:r>
      <w:r>
        <w:rPr>
          <w:rFonts w:ascii="仿宋_GB2312" w:eastAsia="仿宋_GB2312" w:cs="仿宋_GB2312"/>
          <w:color w:val="000000"/>
          <w:sz w:val="32"/>
          <w:szCs w:val="32"/>
        </w:rPr>
        <w:t>5G+</w:t>
      </w:r>
      <w:r>
        <w:rPr>
          <w:rFonts w:hint="eastAsia" w:ascii="仿宋_GB2312" w:eastAsia="仿宋_GB2312" w:cs="仿宋_GB2312"/>
          <w:color w:val="000000"/>
          <w:sz w:val="32"/>
          <w:szCs w:val="32"/>
        </w:rPr>
        <w:t>工业互联网”应用，培育智能制造新模式、新业态。鼓励企业上市挂牌，加大项目融资，开展政银担企对接活动，加快企业上市挂牌步伐。积极落实《休宁县促进新型工业化发展专项资金管理办法》《休宁县支持科技创新发展专项资金管理办法》，及时兑现企业奖补资金，充分激发市场主体的创造性和能动性。</w:t>
      </w:r>
    </w:p>
    <w:p>
      <w:pPr>
        <w:spacing w:line="560" w:lineRule="exact"/>
        <w:ind w:firstLine="642" w:firstLineChars="200"/>
        <w:rPr>
          <w:rFonts w:ascii="仿宋_GB2312" w:eastAsia="仿宋_GB2312"/>
          <w:color w:val="000000"/>
          <w:sz w:val="32"/>
          <w:szCs w:val="32"/>
        </w:rPr>
      </w:pPr>
      <w:bookmarkStart w:id="60" w:name="_Toc56416764"/>
      <w:r>
        <w:rPr>
          <w:rFonts w:hint="eastAsia" w:ascii="楷体" w:hAnsi="楷体" w:eastAsia="楷体" w:cs="楷体"/>
          <w:b/>
          <w:bCs/>
          <w:color w:val="000000"/>
          <w:sz w:val="32"/>
          <w:szCs w:val="32"/>
        </w:rPr>
        <w:t>创新招商引资方式</w:t>
      </w:r>
      <w:bookmarkEnd w:id="60"/>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全面压实招商引资责任，综合运用领导带队招商、驻点招商、专业招商等方式，充分发挥商会协会作用，引领全县干部参与招商引资。开展产业链招商，紧盯绿色生态产业、战新高新产业和现代服务业，坚持招大引强不放小、引资引智引技并举，引进一批高新、战新、带动能力强、辐射作用大的行业领先企业。优化招商引资服务模式，创新云招商模式，建立商务、招商专人专线跟踪机制和定期动态信息反馈机制，跟进协调项目进展，建立“容缺处理”快速受理机制，采取“双向免费邮寄”惠企措施，助力营业执照快速审批。全方位“融杭接沪”，聚焦长三角、粤港澳等重点区域，积极发展“飞地”经济、“首店”经济，推进京阪日本科技产业园等一批重大项目早日落地投产。</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升级完善产业链。</w:t>
      </w:r>
      <w:r>
        <w:rPr>
          <w:rFonts w:hint="eastAsia" w:ascii="仿宋_GB2312" w:eastAsia="仿宋_GB2312" w:cs="仿宋_GB2312"/>
          <w:color w:val="000000"/>
          <w:sz w:val="32"/>
          <w:szCs w:val="32"/>
        </w:rPr>
        <w:t>紧紧抓住国家促进战略性新兴产业、高新技术产业高质量发展的战略机遇，聚焦问题补短板，精准招商，集聚一批主导产业上下游环节龙头企业。围绕休宁智能制造、绿色有机食品加工两大主导产业“建链、补链、延链”的需求，全面推行“链长制”，打造一批特色产业集群、产业基地、龙头企业，推动产业链升级完善。围绕资金、政策、土地等要素，加强产业链研究与政策精准供给，扶持主导产业发展，全流程、精准化服务主导产业链上下游企业建设达产，聚焦行业头部企业、重点企业，推动产业链发展从重点突破到“链式”发展，加强创新源头建设，建设循环畅通产业链集群。实施供应链协同推进行动，针对产业链现状及特点，建立集产品生产、加工、流通和服务于一体的供应链体系，设立产业联盟等产业组织，推进供应链和制造业协调发展，引进培育一批技术水平先进、主营业务突出、核心竞争力强的新型供应链服务企业，提升产业链供应链稳定性与竞争力。</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产业承接能力建设工程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shd w:val="clear" w:color="auto" w:fill="FFFFFF"/>
              </w:rPr>
              <w:t>园区</w:t>
            </w:r>
            <w:r>
              <w:rPr>
                <w:rFonts w:hint="eastAsia" w:ascii="仿宋_GB2312" w:cs="仿宋_GB2312"/>
                <w:b/>
                <w:bCs/>
                <w:color w:val="000000"/>
                <w:sz w:val="24"/>
                <w:szCs w:val="24"/>
              </w:rPr>
              <w:t>基础设施：</w:t>
            </w:r>
            <w:r>
              <w:rPr>
                <w:rFonts w:hint="eastAsia" w:ascii="仿宋_GB2312" w:cs="仿宋_GB2312"/>
                <w:color w:val="000000"/>
                <w:sz w:val="24"/>
                <w:szCs w:val="24"/>
              </w:rPr>
              <w:t>休宁县经济开发区智慧园区、智谷科技园（二期）、休宁经济开发区综合能力提升工程、燕窝板块道路建设工程（燕窝路段）、园区集中供热项目、怀玉板块雨污水管网项目、休宁经济开发区环境提升工程、开发区北环路道路及排水明渠项目、休宁经济开发区循环经济园基础设施提升改造工程、管线改造工程、黄山北路（开发区段）提升改造工程、怀玉园区道路绿化亮化项目、开发区土地平整项目、尧舜园区雨污水管网系统探测、修复工程项目、孵化器三期、月潭湖镇产业园区提升改造工程。</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企业培育：</w:t>
            </w:r>
            <w:r>
              <w:rPr>
                <w:rFonts w:hint="eastAsia" w:ascii="仿宋_GB2312" w:cs="仿宋_GB2312"/>
                <w:color w:val="000000"/>
                <w:sz w:val="24"/>
                <w:szCs w:val="24"/>
              </w:rPr>
              <w:t>黄山市益天士生物科技有限公司项目、安徽科瑞新电气项目（一期）、黄山市混凝土和砂浆预拌生产基地项目、年产</w:t>
            </w:r>
            <w:r>
              <w:rPr>
                <w:rFonts w:ascii="仿宋_GB2312" w:cs="仿宋_GB2312"/>
                <w:color w:val="000000"/>
                <w:sz w:val="24"/>
                <w:szCs w:val="24"/>
              </w:rPr>
              <w:t>300</w:t>
            </w:r>
            <w:r>
              <w:rPr>
                <w:rFonts w:hint="eastAsia" w:ascii="仿宋_GB2312" w:cs="仿宋_GB2312"/>
                <w:color w:val="000000"/>
                <w:sz w:val="24"/>
                <w:szCs w:val="24"/>
              </w:rPr>
              <w:t>万套</w:t>
            </w:r>
            <w:r>
              <w:rPr>
                <w:rFonts w:ascii="仿宋_GB2312" w:cs="仿宋_GB2312"/>
                <w:color w:val="000000"/>
                <w:sz w:val="24"/>
                <w:szCs w:val="24"/>
              </w:rPr>
              <w:t>LED</w:t>
            </w:r>
            <w:r>
              <w:rPr>
                <w:rFonts w:hint="eastAsia" w:ascii="仿宋_GB2312" w:cs="仿宋_GB2312"/>
                <w:color w:val="000000"/>
                <w:sz w:val="24"/>
                <w:szCs w:val="24"/>
              </w:rPr>
              <w:t>灯饰生产项目、黄山红波模具弹簧项目、表面型半导体电容器瓷料与瓷片项目。</w:t>
            </w:r>
          </w:p>
        </w:tc>
      </w:tr>
    </w:tbl>
    <w:p>
      <w:pPr>
        <w:pStyle w:val="3"/>
        <w:numPr>
          <w:ilvl w:val="0"/>
          <w:numId w:val="6"/>
        </w:numPr>
        <w:spacing w:before="156" w:after="156" w:line="560" w:lineRule="exact"/>
        <w:ind w:left="426" w:hanging="426"/>
        <w:rPr>
          <w:rFonts w:ascii="仿宋_GB2312" w:cs="Times New Roman"/>
          <w:color w:val="000000"/>
        </w:rPr>
      </w:pPr>
      <w:bookmarkStart w:id="61" w:name="_Toc72935890"/>
      <w:r>
        <w:rPr>
          <w:rFonts w:hint="eastAsia" w:ascii="仿宋_GB2312" w:cs="黑体"/>
          <w:color w:val="000000"/>
        </w:rPr>
        <w:t>全力厚植发展新优势</w:t>
      </w:r>
      <w:bookmarkEnd w:id="61"/>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不懈走创新发展之路，以“融杭接沪”战略为主抓手，以重点领域改革为动力，通过提升企业创新活力、扩大对外开放、优化营商环境和要素改革，深度参与长三角一体化进程，助推休宁迈入更高发展新台阶。</w:t>
      </w:r>
    </w:p>
    <w:p>
      <w:pPr>
        <w:pStyle w:val="4"/>
        <w:numPr>
          <w:ilvl w:val="0"/>
          <w:numId w:val="9"/>
        </w:numPr>
        <w:spacing w:before="156" w:after="156" w:line="560" w:lineRule="exact"/>
        <w:ind w:left="426" w:hanging="426"/>
        <w:rPr>
          <w:rFonts w:cs="Times New Roman"/>
          <w:color w:val="000000"/>
        </w:rPr>
      </w:pPr>
      <w:bookmarkStart w:id="62" w:name="_Toc72935891"/>
      <w:r>
        <w:rPr>
          <w:rFonts w:hint="eastAsia" w:cs="楷体"/>
          <w:color w:val="000000"/>
        </w:rPr>
        <w:t>全面提升综合竞争力</w:t>
      </w:r>
      <w:bookmarkEnd w:id="62"/>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坚持创新在社会主义现代化建设全局中的核心地位，发挥科技创新的引领作用，培育创新主体，优化创新环境，激发创新活力，深入推进创新型县建设，推动形成具有休宁特色的区域创新体系。</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培育壮大创新主体。</w:t>
      </w:r>
      <w:r>
        <w:rPr>
          <w:rFonts w:hint="eastAsia" w:ascii="仿宋_GB2312" w:eastAsia="仿宋_GB2312" w:cs="仿宋_GB2312"/>
          <w:color w:val="000000"/>
          <w:sz w:val="32"/>
          <w:szCs w:val="32"/>
        </w:rPr>
        <w:t>强化企业的主体创新地位，深化企业与中科大、浙大、蚌埠玻璃研究院等“大院大所”产学研用合作，组织企业参加科技成果评价、科技进步奖项申报、创新创业大赛，激发企业创新能力，推动松萝茶业、白岳活性白土等优势产业企业直接参与行业标准和地方标准制定。围绕产业薄弱环节和发展需求，实施“招才引智”战略，建立高规格多层次的科技咨询专家库，实施人才柔性引进政策，积极引进高层次人才、高素质管理人才，实施“双创”团队引进计划、科技企业家培育计划，坚持培养本地科技人才，重点培养一批适应全县发展需要的技能型、应用型、创新型人才。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年，力争规上企业</w:t>
      </w:r>
      <w:r>
        <w:rPr>
          <w:rFonts w:ascii="仿宋_GB2312" w:eastAsia="仿宋_GB2312" w:cs="仿宋_GB2312"/>
          <w:color w:val="000000"/>
          <w:sz w:val="32"/>
          <w:szCs w:val="32"/>
        </w:rPr>
        <w:t>70%</w:t>
      </w:r>
      <w:r>
        <w:rPr>
          <w:rFonts w:hint="eastAsia" w:ascii="仿宋_GB2312" w:eastAsia="仿宋_GB2312" w:cs="仿宋_GB2312"/>
          <w:color w:val="000000"/>
          <w:sz w:val="32"/>
          <w:szCs w:val="32"/>
        </w:rPr>
        <w:t>以上都与高校院所建立产学研用合作关系。</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打造高水平创新平台。</w:t>
      </w:r>
      <w:r>
        <w:rPr>
          <w:rFonts w:hint="eastAsia" w:ascii="仿宋_GB2312" w:eastAsia="仿宋_GB2312" w:cs="仿宋_GB2312"/>
          <w:color w:val="000000"/>
          <w:sz w:val="32"/>
          <w:szCs w:val="32"/>
        </w:rPr>
        <w:t>整合休宁现有各类创新资源，引导和扶持创建国家星创天地、省科技特派员工作站、省级技术创新中心、省、市级工程技术研究中心等创新平台，引导社会资金和金融资本推动创客空间、创业咖啡、创新工场等新型孵化载体建设，加快创建省众创空间，提升服务企业创新能力，建立企业联合实验室、院士工作站、博士后科研工作站等形式的技术创新载体。加强与</w:t>
      </w:r>
      <w:r>
        <w:rPr>
          <w:rFonts w:ascii="仿宋_GB2312" w:eastAsia="仿宋_GB2312" w:cs="仿宋_GB2312"/>
          <w:color w:val="000000"/>
          <w:sz w:val="32"/>
          <w:szCs w:val="32"/>
        </w:rPr>
        <w:t>G60</w:t>
      </w:r>
      <w:r>
        <w:rPr>
          <w:rFonts w:hint="eastAsia" w:ascii="仿宋_GB2312" w:eastAsia="仿宋_GB2312" w:cs="仿宋_GB2312"/>
          <w:color w:val="000000"/>
          <w:sz w:val="32"/>
          <w:szCs w:val="32"/>
        </w:rPr>
        <w:t>科创走廊合作协同，强化与合肥、杭州等创新资源密集区域的技术合作，瞄准主导产业链短板环节，推动与杭州临安区、青山湖工业园区协同建设工业发展平台，多点布局“科创飞地”，探索构建“杭沪孵化</w:t>
      </w:r>
      <w:r>
        <w:rPr>
          <w:rFonts w:ascii="仿宋_GB2312" w:eastAsia="仿宋_GB2312" w:cs="仿宋_GB2312"/>
          <w:color w:val="000000"/>
          <w:sz w:val="32"/>
          <w:szCs w:val="32"/>
        </w:rPr>
        <w:t>+</w:t>
      </w:r>
      <w:r>
        <w:rPr>
          <w:rFonts w:hint="eastAsia" w:ascii="仿宋_GB2312" w:eastAsia="仿宋_GB2312" w:cs="仿宋_GB2312"/>
          <w:color w:val="000000"/>
          <w:sz w:val="32"/>
          <w:szCs w:val="32"/>
        </w:rPr>
        <w:t>休宁制造”合作模式。到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年，力争创建省级技术创新中心</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个，建设省众创空间</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完善创新体制机制。</w:t>
      </w:r>
      <w:r>
        <w:rPr>
          <w:rFonts w:hint="eastAsia" w:ascii="仿宋_GB2312" w:eastAsia="仿宋_GB2312" w:cs="仿宋_GB2312"/>
          <w:color w:val="000000"/>
          <w:sz w:val="32"/>
          <w:szCs w:val="32"/>
        </w:rPr>
        <w:t>建立健全多元化科技投入机制，围绕智能制造、绿色有机食品加工两大主导产业，推动企业加大基础研究投入和原始创新，组织企业参加省、市、县三级政策奖补申报，积极争取科技专项资金，加大财政对基础研究长期持续稳定的支持力度，引导企业与商业金融机构和风险投资机构加强联系，拓宽合作的渠道和范围，合作开发知识产权质押贷款、股权质押贷款等金融产品。推进科技成果转化，健全完善知识产权保护体系，加强创新投入和先进技术引进，围绕主导产业和企业发展需要，聚焦关键核心技术项目，推动建立“揭榜挂帅”制度，鼓励企业与高校合作共建技术研发平台、技术转让平台，推动企业与高校科研院所科技成果合作，加快构建“政产学研用金”一体协同机制，构建完备的科技创新成果服务体系。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年，力争全县</w:t>
      </w:r>
      <w:r>
        <w:rPr>
          <w:rFonts w:ascii="仿宋_GB2312" w:eastAsia="仿宋_GB2312" w:cs="仿宋_GB2312"/>
          <w:color w:val="000000"/>
          <w:sz w:val="32"/>
          <w:szCs w:val="32"/>
        </w:rPr>
        <w:t>R&amp;D</w:t>
      </w:r>
      <w:r>
        <w:rPr>
          <w:rFonts w:hint="eastAsia" w:ascii="仿宋_GB2312" w:eastAsia="仿宋_GB2312" w:cs="仿宋_GB2312"/>
          <w:color w:val="000000"/>
          <w:sz w:val="32"/>
          <w:szCs w:val="32"/>
        </w:rPr>
        <w:t>投入占</w:t>
      </w:r>
      <w:r>
        <w:rPr>
          <w:rFonts w:ascii="仿宋_GB2312" w:eastAsia="仿宋_GB2312" w:cs="仿宋_GB2312"/>
          <w:color w:val="000000"/>
          <w:sz w:val="32"/>
          <w:szCs w:val="32"/>
        </w:rPr>
        <w:t>GDP</w:t>
      </w:r>
      <w:r>
        <w:rPr>
          <w:rFonts w:hint="eastAsia" w:ascii="仿宋_GB2312" w:eastAsia="仿宋_GB2312" w:cs="仿宋_GB2312"/>
          <w:color w:val="000000"/>
          <w:sz w:val="32"/>
          <w:szCs w:val="32"/>
        </w:rPr>
        <w:t>比例达</w:t>
      </w:r>
      <w:r>
        <w:rPr>
          <w:rFonts w:ascii="仿宋_GB2312" w:eastAsia="仿宋_GB2312" w:cs="仿宋_GB2312"/>
          <w:color w:val="000000"/>
          <w:sz w:val="32"/>
          <w:szCs w:val="32"/>
        </w:rPr>
        <w:t>1.5%</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激发全社会创新创业活力。</w:t>
      </w:r>
      <w:r>
        <w:rPr>
          <w:rFonts w:hint="eastAsia" w:ascii="仿宋_GB2312" w:eastAsia="仿宋_GB2312" w:cs="仿宋_GB2312"/>
          <w:color w:val="000000"/>
          <w:sz w:val="32"/>
          <w:szCs w:val="32"/>
        </w:rPr>
        <w:t>推进重点龙头企业、高校科研院所等创新主体分类管理改革，搭建不同形式、不同层次的学术交流平台，发现培养人才，激发各类创新主体的动力。支持“双创”平台建设和应用推广，提升制造业重点行业骨干企业互联网“双创”平台普及率，组织开展各类“双创”活动，营造创新创业良好氛围，吸引创新创业成果落地休宁。强化科技中介服务效能，支持企业、高校创办以市场为导向的科技中介服务机构，支持服务机构加强对企业的培育服务，补齐企业在科技成果转化、知识产权、财务管理等方面的短板。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年，以企业为主体，市场为导向，产学研结合的具有休宁特色的区域创新体系基本形成，科技进步与创新成为支撑休宁经济发展方式转变的主导力量。</w:t>
      </w:r>
    </w:p>
    <w:p>
      <w:pPr>
        <w:pStyle w:val="4"/>
        <w:spacing w:before="156" w:after="156" w:line="560" w:lineRule="exact"/>
        <w:ind w:left="422" w:hanging="422"/>
        <w:rPr>
          <w:rFonts w:cs="Times New Roman"/>
          <w:color w:val="000000"/>
        </w:rPr>
      </w:pPr>
      <w:bookmarkStart w:id="63" w:name="_Toc72935892"/>
      <w:r>
        <w:rPr>
          <w:rFonts w:hint="eastAsia" w:cs="楷体"/>
          <w:color w:val="000000"/>
        </w:rPr>
        <w:t>推进长三角一体化和开放发展</w:t>
      </w:r>
      <w:bookmarkEnd w:id="63"/>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充分发挥毗邻长三角发达地区优势，加强与长三角地区全面对标对接，全域推进“融杭接沪”，强化对外开放合作，在长三角一体化、高质量发展进程中，融入休宁元素、贡献休宁力量。</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推进“融杭接沪”战略。</w:t>
      </w:r>
      <w:r>
        <w:rPr>
          <w:rFonts w:hint="eastAsia" w:ascii="仿宋_GB2312" w:eastAsia="仿宋_GB2312" w:cs="仿宋_GB2312"/>
          <w:color w:val="000000"/>
          <w:sz w:val="32"/>
          <w:szCs w:val="32"/>
        </w:rPr>
        <w:t>全面融入杭州都市圈发展，主动参与都市圈发展合作分工，建立完善跨区域转移发展合作机制，争取在市场、资本、项目、产业、人才等方面取得更多合作成果。发挥休宁生态、旅游、文化优势，推进与杭州市临安区友好区县建设，形成高质量全域融杭格局。积极参与黄杭国际黄金旅游线建设，加强旅游文化合作，强化休宁与周边知名旅游景区的分工协作与联动发展。加强与上海对标对接、合作协同，加快基础设施互联互通、创新能力建设、要素资源流动、承接产业转移等领域深度合作，推动休宁成为产业承接首选地、休闲旅游后花园、健康养老目的地。</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全面融入长三角一体化。</w:t>
      </w:r>
      <w:r>
        <w:rPr>
          <w:rFonts w:hint="eastAsia" w:ascii="仿宋_GB2312" w:eastAsia="仿宋_GB2312" w:cs="仿宋_GB2312"/>
          <w:color w:val="000000"/>
          <w:sz w:val="32"/>
          <w:szCs w:val="32"/>
        </w:rPr>
        <w:t>紧扣“一体化”和“高质量”两个关键词，全面融入长三角协调发展的新格局。加强友好县市交流，创新合作方式，打造对外发展新形象，积极拓展休宁“朋友圈”，深入推进与浙江开化、龙港战略合作，进一步加强在产业发展、生态建设、文化旅游、社会治理、人才资源等领域合作，促进区域一体化发展。积极参与长三角绿色农产品生产加工供应基地“</w:t>
      </w:r>
      <w:r>
        <w:rPr>
          <w:rFonts w:ascii="仿宋_GB2312" w:eastAsia="仿宋_GB2312" w:cs="仿宋_GB2312"/>
          <w:color w:val="000000"/>
          <w:sz w:val="32"/>
          <w:szCs w:val="32"/>
        </w:rPr>
        <w:t>158</w:t>
      </w:r>
      <w:r>
        <w:rPr>
          <w:rFonts w:hint="eastAsia" w:ascii="仿宋_GB2312" w:eastAsia="仿宋_GB2312" w:cs="仿宋_GB2312"/>
          <w:color w:val="000000"/>
          <w:sz w:val="32"/>
          <w:szCs w:val="32"/>
        </w:rPr>
        <w:t>”行动计划，打造一批高水平产业合作载体，探索“飞地孵化器”“飞地园区”等合作模式，积极承接江浙沪地区产业转移，加强与意向投资企业跟踪对接。共筑区域绿色生态安全屏障，探索建立跨行政区域生态环境基础设施建设和运营管理协调机制，拓宽生态产品价值实现途径，建设长三角绿色生态后花园。推动公共服务共建共享，探索推进社保卡一卡通、公共交通“一码通行”，协同推进长三角城市数据互通共享、政务服务事项“一网通办”，推动长三角地区企业登记“全域通办”，提升政务服务效能。</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大力发展外向型经济。</w:t>
      </w:r>
      <w:r>
        <w:rPr>
          <w:rFonts w:hint="eastAsia" w:ascii="仿宋_GB2312" w:eastAsia="仿宋_GB2312" w:cs="仿宋_GB2312"/>
          <w:color w:val="000000"/>
          <w:sz w:val="32"/>
          <w:szCs w:val="32"/>
        </w:rPr>
        <w:t>主动对接“一带一路”建设，引导企业开拓多元化出口市场，推动加工贸易向产业链两端延伸，实施外贸主体培育工程，建设一批出口基地，加快发展外贸进出口。积极对接合芜蚌、上海自贸区，加快形成顺应国际投资、贸易通行规则的制度体系，扩大休宁绿色农产品等出口规模。大力开拓境外旅游市场，引导文化旅游等优势行业积极走出去，加快旅游国际化。强化外资引进力度，积极争取国际组织贷款、赠款用于农业农村基础设施建设等领域，有效吸引外商投资兴办旅游、现代农业等项目。支持引进综合性航空物流企业、国际货代、国内快件和物流快递企业在休宁设立区域分拨中心。利用各类园区、展会活动和对外友好交流平台，积极打造对外交往合作平台。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年，外贸进出口总额年增长率同全市平均水平保持一致。</w:t>
      </w:r>
    </w:p>
    <w:p>
      <w:pPr>
        <w:pStyle w:val="4"/>
        <w:spacing w:before="156" w:after="156" w:line="560" w:lineRule="exact"/>
        <w:ind w:left="422" w:hanging="422"/>
        <w:rPr>
          <w:rFonts w:cs="Times New Roman"/>
          <w:color w:val="000000"/>
        </w:rPr>
      </w:pPr>
      <w:bookmarkStart w:id="64" w:name="_Toc72935893"/>
      <w:r>
        <w:rPr>
          <w:rFonts w:hint="eastAsia" w:cs="楷体"/>
          <w:color w:val="000000"/>
        </w:rPr>
        <w:t>全面深化重点领域改革</w:t>
      </w:r>
      <w:bookmarkEnd w:id="64"/>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深入推进重点领域改革，充分发挥市场在资源配置中的决定性作用，更好发挥政府作用，主动推进更高水平开放，增强经济发展新动能。</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推动要素市场化改革。</w:t>
      </w:r>
      <w:r>
        <w:rPr>
          <w:rFonts w:hint="eastAsia" w:ascii="仿宋_GB2312" w:eastAsia="仿宋_GB2312" w:cs="仿宋_GB2312"/>
          <w:color w:val="000000"/>
          <w:sz w:val="32"/>
          <w:szCs w:val="32"/>
        </w:rPr>
        <w:t>协同建立健全城乡统一的建设用地市场，探索推进农村集体经营性建设用地入市，鼓励推进企业存量用地和低效用地盘活利用。推进人力资源要素市场化配置改革，加强与长三角深度融合，促进人才要素自由流动，吸引高层次、创新型人才入驻休宁，健全统一规范的人力资源市场体系，建立协调衔接的劳动力、人才流动政策体系和交流合作机制。推进资本要素市场化改革，充分发挥资本市场优化资源配置功能作用，增加服务小微企业和民营企业的金融服务供给，健全完善县域银行业金融机构服务“三农”的激励约束机制。加快发展技术要素市场，深化科技成果使用权、处置权和收益权改革，强化知识产权保护和运用，促进科技成果转化应用。探索数据要素开放共享机制，推进政府数据开放共享，优化经济治理基础数据库，加快推动各部门各乡镇间数据共享交换，探索建立统一规范的数据管理制度，加强对政务数据、企业商业秘密和个人数据的保护和审查。</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深化农业经营体制改革。</w:t>
      </w:r>
      <w:r>
        <w:rPr>
          <w:rFonts w:hint="eastAsia" w:ascii="仿宋_GB2312" w:hAnsi="楷体" w:eastAsia="仿宋_GB2312" w:cs="仿宋_GB2312"/>
          <w:color w:val="000000"/>
          <w:sz w:val="32"/>
          <w:szCs w:val="32"/>
        </w:rPr>
        <w:t>巩固农村集体产权制度改革成果，完善村集体成员身份确认、股份制改革、组织登记赋码工作，探索集体资产市场化运营，推动建立农村集体资产保值增值和股权分红长效机制。深入推进农村“三变”改革，探索农村集体经济新的实现形式和运行机制。大力培育农业企业、农民合作社、家庭农场等各种新型经营主体，吸引各类资金投入乡村，积极带动农民发展农业生产。深化农村“三块地”（宅基地、承包地、集体建设用地）改革，探索开展宅基地管理服务，加强农村宅基地审批管理，完善农村闲置宅基地和闲置住宅盘活利用配套政策，全面推进乡镇试点村农房一体化确权颁证工作。推进农村土地承包经营权有序流转，继续加大对土地规模流转的经营主体以奖代补、项目扶持、金融服务等方面的扶持，加快构建集补贴、金融、保险和设施用地为一体的扶持培育政策。保障进城落户农民土地承包权、宅基地使用权、集体收益分配权，鼓励依法自愿有偿转让。完善多层次农业保险体系，提高农业抗风险能力。</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全面深化林业改革。</w:t>
      </w:r>
      <w:r>
        <w:rPr>
          <w:rFonts w:hint="eastAsia" w:ascii="仿宋_GB2312" w:eastAsia="仿宋_GB2312" w:cs="仿宋_GB2312"/>
          <w:color w:val="000000"/>
          <w:sz w:val="32"/>
          <w:szCs w:val="32"/>
        </w:rPr>
        <w:t>稳步推进林长制改革示范区创建，有序推进鹤城乡新安源古树名木改革示范区、板桥乡森林资源保护暨森林旅游示范区、休宁县国有林场林下经济改革示范区</w:t>
      </w:r>
      <w:r>
        <w:rPr>
          <w:rFonts w:ascii="仿宋_GB2312" w:eastAsia="仿宋_GB2312" w:cs="仿宋_GB2312"/>
          <w:color w:val="000000"/>
          <w:sz w:val="32"/>
          <w:szCs w:val="32"/>
        </w:rPr>
        <w:t>3</w:t>
      </w:r>
      <w:r>
        <w:rPr>
          <w:rFonts w:hint="eastAsia" w:ascii="仿宋_GB2312" w:eastAsia="仿宋_GB2312" w:cs="仿宋_GB2312"/>
          <w:color w:val="000000"/>
          <w:sz w:val="32"/>
          <w:szCs w:val="32"/>
        </w:rPr>
        <w:t>个改革示范点建设，统筹协调保护发展森林资源责任制相关工作，严格林地用途管理，健全执法管理体制，逐步构建责任明确、协调有序、监管严格、运行高效的林业生态发展机制。</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促进民营经济发展。</w:t>
      </w:r>
      <w:r>
        <w:rPr>
          <w:rFonts w:hint="eastAsia" w:ascii="仿宋_GB2312" w:eastAsia="仿宋_GB2312" w:cs="仿宋_GB2312"/>
          <w:color w:val="000000"/>
          <w:sz w:val="32"/>
          <w:szCs w:val="32"/>
        </w:rPr>
        <w:t>加强资金、土地、用工等要素保障，常态化精准化实施“四送一服”双千工程，持续创优“四最”营商环境，落实减税降费政策，激发民营经济发展活力。加快民营企业成长，引导民营企业建立现代企业制度，完善公司治理结构，加大专精特新中小企业培育，壮大提升专精特新企业发展队伍和质量。加大民营企业家培育，定期组织民营企业家参加专题培训班，开拓民营企业家经营思维，提升民营企业经营管理能力，依法保护民营企业和企业家的合法权益。推动构建亲清政商关系，建立健全长效政企沟通机制，实行“一个企业、一名领导、一套班子、一抓到底”的帮扶机制，进一步优化审批服务，大力推动“照后减证”，逐步实现“照后能营”，减少民间资本市场准入限制，全面实施市场准入负面清单，推动“非禁即入”普遍落实。鼓励民营企业联合高校、科研院所共建一批技术创新平台和研发中心，加速民营科技企业成长。深化与全国知名民营企业合作，引进更多企业家、投资者、来休宁投资兴业，坚定不移实施“休商回归”，持续推动徽商“凤还巢”。</w:t>
      </w:r>
    </w:p>
    <w:p>
      <w:pPr>
        <w:pStyle w:val="3"/>
        <w:spacing w:before="156" w:after="156" w:line="560" w:lineRule="exact"/>
        <w:ind w:left="426" w:hanging="426"/>
        <w:rPr>
          <w:rFonts w:ascii="黑体" w:cs="Times New Roman"/>
          <w:color w:val="000000"/>
        </w:rPr>
      </w:pPr>
      <w:bookmarkStart w:id="65" w:name="_Toc72935894"/>
      <w:r>
        <w:rPr>
          <w:rFonts w:hint="eastAsia" w:ascii="黑体" w:hAnsi="黑体" w:cs="黑体"/>
          <w:color w:val="000000"/>
        </w:rPr>
        <w:t>引领城乡区域协调发展</w:t>
      </w:r>
      <w:bookmarkEnd w:id="6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加快完善国土空间规划体系，持续推动新型城镇化建设，统筹规划城市和乡村发展，</w:t>
      </w:r>
      <w:r>
        <w:rPr>
          <w:rFonts w:hint="eastAsia" w:eastAsia="仿宋_GB2312" w:cs="仿宋_GB2312"/>
          <w:sz w:val="32"/>
          <w:szCs w:val="32"/>
        </w:rPr>
        <w:t>按年度编制实施土地征收成片开发方案，科学有序布局生态、农业、城镇等功能空间，严格执行生态保护红线、永久基本农田、城镇开发边界三条控制线，科学利用各类空间资源，</w:t>
      </w:r>
      <w:r>
        <w:rPr>
          <w:rFonts w:hint="eastAsia" w:ascii="仿宋_GB2312" w:eastAsia="仿宋_GB2312" w:cs="仿宋_GB2312"/>
          <w:color w:val="000000"/>
          <w:sz w:val="32"/>
          <w:szCs w:val="32"/>
        </w:rPr>
        <w:t>促进城乡在规划布局、要素配置、产业发展、公共服务、生态保护等方面相互融合和协调发展，为经济社会发展提供有力支撑，</w:t>
      </w:r>
      <w:r>
        <w:rPr>
          <w:rFonts w:hint="eastAsia" w:eastAsia="仿宋_GB2312" w:cs="仿宋_GB2312"/>
          <w:sz w:val="32"/>
          <w:szCs w:val="32"/>
        </w:rPr>
        <w:t>实现生产空间集约高效、生活空间宜居适度、生态空间山清水秀。</w:t>
      </w:r>
    </w:p>
    <w:p>
      <w:pPr>
        <w:pStyle w:val="4"/>
        <w:numPr>
          <w:ilvl w:val="0"/>
          <w:numId w:val="10"/>
        </w:numPr>
        <w:spacing w:before="156" w:after="156" w:line="560" w:lineRule="exact"/>
        <w:ind w:left="426"/>
        <w:rPr>
          <w:rFonts w:cs="Times New Roman"/>
          <w:color w:val="000000"/>
        </w:rPr>
      </w:pPr>
      <w:bookmarkStart w:id="66" w:name="_Toc72935895"/>
      <w:r>
        <w:rPr>
          <w:rFonts w:hint="eastAsia" w:cs="楷体"/>
          <w:color w:val="000000"/>
        </w:rPr>
        <w:t>建设高品质美丽新城区</w:t>
      </w:r>
      <w:bookmarkEnd w:id="6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推动城区发展布局优化和品质县城建设提升，提高人居环境质量，不断增强城区综合承载力，着力打造中心城区城市功能拓展承载地。</w:t>
      </w:r>
    </w:p>
    <w:p>
      <w:pPr>
        <w:wordWrap w:val="0"/>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打造县城发展新增长点。</w:t>
      </w:r>
      <w:r>
        <w:rPr>
          <w:rFonts w:hint="eastAsia" w:ascii="仿宋_GB2312" w:eastAsia="仿宋_GB2312" w:cs="仿宋_GB2312"/>
          <w:color w:val="000000"/>
          <w:sz w:val="32"/>
          <w:szCs w:val="32"/>
        </w:rPr>
        <w:t>围绕县城“美丽宜居公园城市”发展目标，突出“四城”联动，推动“产城”发展更加强劲，“景城”建设初具雏形，“同城”先行步伐加快，“新城”开发进展提速，全面提升城市综合竞争力和区域影响力，加快县城基础设施建设项目实施，做优做强县城经济，形成引领休宁全面发展的核心增长点。积极融入黄山“大主城区”城市格局，推动基础设施建设与中心城区对标对接，加强公共服务共建共享，促进资源要素双向流通，依法稳妥适时启动区划调整，实现休屯同城深度融合，承接中心城区功能，高质量推动黄山南部城镇群建设，实现万安、东临溪、榆村、商山等城镇与黄山市中心城区等高对接。依据《休宁县城总体规划（</w:t>
      </w:r>
      <w:r>
        <w:rPr>
          <w:rFonts w:ascii="仿宋_GB2312" w:eastAsia="仿宋_GB2312" w:cs="仿宋_GB2312"/>
          <w:color w:val="000000"/>
          <w:sz w:val="32"/>
          <w:szCs w:val="32"/>
        </w:rPr>
        <w:t>2018-2035</w:t>
      </w:r>
      <w:r>
        <w:rPr>
          <w:rFonts w:hint="eastAsia" w:ascii="仿宋_GB2312" w:eastAsia="仿宋_GB2312" w:cs="仿宋_GB2312"/>
          <w:color w:val="000000"/>
          <w:sz w:val="32"/>
          <w:szCs w:val="32"/>
        </w:rPr>
        <w:t>）》和《安徽省新型城镇化发展规划（</w:t>
      </w:r>
      <w:r>
        <w:rPr>
          <w:rFonts w:ascii="仿宋_GB2312" w:eastAsia="仿宋_GB2312" w:cs="仿宋_GB2312"/>
          <w:color w:val="000000"/>
          <w:sz w:val="32"/>
          <w:szCs w:val="32"/>
        </w:rPr>
        <w:t>2016-2025</w:t>
      </w:r>
      <w:r>
        <w:rPr>
          <w:rFonts w:hint="eastAsia" w:ascii="仿宋_GB2312" w:eastAsia="仿宋_GB2312" w:cs="仿宋_GB2312"/>
          <w:color w:val="000000"/>
          <w:sz w:val="32"/>
          <w:szCs w:val="32"/>
        </w:rPr>
        <w:t>）》，到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年，实现县城建成区面积达到</w:t>
      </w:r>
      <w:r>
        <w:rPr>
          <w:rFonts w:ascii="仿宋_GB2312" w:eastAsia="仿宋_GB2312" w:cs="仿宋_GB2312"/>
          <w:color w:val="000000"/>
          <w:sz w:val="32"/>
          <w:szCs w:val="32"/>
        </w:rPr>
        <w:t>12</w:t>
      </w:r>
      <w:r>
        <w:rPr>
          <w:rFonts w:hint="eastAsia" w:ascii="仿宋_GB2312" w:eastAsia="仿宋_GB2312" w:cs="仿宋_GB2312"/>
          <w:color w:val="000000"/>
          <w:sz w:val="32"/>
          <w:szCs w:val="32"/>
        </w:rPr>
        <w:t>平方公里，人口扩张容纳</w:t>
      </w:r>
      <w:r>
        <w:rPr>
          <w:rFonts w:ascii="仿宋_GB2312" w:eastAsia="仿宋_GB2312" w:cs="仿宋_GB2312"/>
          <w:color w:val="000000"/>
          <w:sz w:val="32"/>
          <w:szCs w:val="32"/>
        </w:rPr>
        <w:t>12</w:t>
      </w:r>
      <w:r>
        <w:rPr>
          <w:rFonts w:hint="eastAsia" w:ascii="仿宋_GB2312" w:eastAsia="仿宋_GB2312" w:cs="仿宋_GB2312"/>
          <w:color w:val="000000"/>
          <w:sz w:val="32"/>
          <w:szCs w:val="32"/>
        </w:rPr>
        <w:t>万人的“双</w:t>
      </w:r>
      <w:r>
        <w:rPr>
          <w:rFonts w:ascii="仿宋_GB2312" w:eastAsia="仿宋_GB2312" w:cs="仿宋_GB2312"/>
          <w:color w:val="000000"/>
          <w:sz w:val="32"/>
          <w:szCs w:val="32"/>
        </w:rPr>
        <w:t>12</w:t>
      </w:r>
      <w:r>
        <w:rPr>
          <w:rFonts w:hint="eastAsia" w:ascii="仿宋_GB2312" w:eastAsia="仿宋_GB2312" w:cs="仿宋_GB2312"/>
          <w:color w:val="000000"/>
          <w:sz w:val="32"/>
          <w:szCs w:val="32"/>
        </w:rPr>
        <w:t>目标”，城镇化率达</w:t>
      </w:r>
      <w:r>
        <w:rPr>
          <w:rFonts w:ascii="仿宋_GB2312" w:eastAsia="仿宋_GB2312" w:cs="仿宋_GB2312"/>
          <w:color w:val="000000"/>
          <w:sz w:val="32"/>
          <w:szCs w:val="32"/>
        </w:rPr>
        <w:t>55%</w:t>
      </w:r>
      <w:r>
        <w:rPr>
          <w:rFonts w:hint="eastAsia" w:ascii="仿宋_GB2312" w:eastAsia="仿宋_GB2312" w:cs="仿宋_GB2312"/>
          <w:color w:val="000000"/>
          <w:sz w:val="32"/>
          <w:szCs w:val="32"/>
        </w:rPr>
        <w:t>，形成环滨江路、老城区、新城区、工业区、滨江新区（含水南板块）、景城区“一江两岸，一环五区”的县城新架构，基本建成“布局合理、功能完善、设施配套、环境优美、文化繁华”的现代化山水园林城市和历史文化名城。</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促进城市功能提升。</w:t>
      </w:r>
      <w:r>
        <w:rPr>
          <w:rFonts w:hint="eastAsia" w:ascii="仿宋_GB2312" w:eastAsia="仿宋_GB2312" w:cs="仿宋_GB2312"/>
          <w:color w:val="000000"/>
          <w:sz w:val="32"/>
          <w:szCs w:val="32"/>
        </w:rPr>
        <w:t>保障城乡基本公共服务设施、交通、水利等用地需求和战略性新兴产业发展空间，加强非集中建设区建设用地规划管理，盘活存量建设用地，保障城区人口增加所需土地供应。增强城区综合服务功能，完善公共服务和设施配套，推动城市道路、供水、供气等市政公用基础设施向城中村、老旧小区、近郊区延伸覆盖。优化城区道路交通体系，完善主次路网建设。加快构建步行和自行车等慢行网络体系，建设一批滨水健身步道。推进城市生态停车场及背街小巷改造提升民生项目建设。加强休宁城市桥梁监管，实行“一桥一档”管理。加快推进城镇老旧小区改造，增强城市防洪排涝能力，建设海绵城市、韧性城市，强化城市有机更新，加强对历史文化街区的传承保护和创新发展。推进城市生活垃圾处理设施建设，推进城市生活垃圾分类。统筹考虑城镇人口容量和分布，坚持集中与分散相结合，完善县城生活污水处理设施建设。加强城市立面安全整治，不搞大拆大建，做到一街一特色，一楼体一标准。</w:t>
      </w:r>
    </w:p>
    <w:p>
      <w:pPr>
        <w:pStyle w:val="4"/>
        <w:numPr>
          <w:ilvl w:val="0"/>
          <w:numId w:val="10"/>
        </w:numPr>
        <w:spacing w:before="156" w:after="156" w:line="560" w:lineRule="exact"/>
        <w:ind w:left="426"/>
        <w:rPr>
          <w:rFonts w:cs="Times New Roman"/>
          <w:color w:val="000000"/>
        </w:rPr>
      </w:pPr>
      <w:bookmarkStart w:id="67" w:name="_Toc72935896"/>
      <w:r>
        <w:rPr>
          <w:rFonts w:hint="eastAsia" w:cs="楷体"/>
          <w:color w:val="000000"/>
        </w:rPr>
        <w:t>大力实施新型城镇化</w:t>
      </w:r>
      <w:bookmarkEnd w:id="6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加快城镇空间格局优化发展，提升城乡发展质量，加快城镇改造提升重大项目实施，推进以人为核心的新型城镇化建设，实现县域错位发展。</w:t>
      </w:r>
    </w:p>
    <w:p>
      <w:pPr>
        <w:spacing w:line="560" w:lineRule="exact"/>
        <w:ind w:firstLine="642" w:firstLineChars="200"/>
        <w:rPr>
          <w:rFonts w:ascii="仿宋_GB2312" w:eastAsia="仿宋_GB2312"/>
          <w:color w:val="000000"/>
          <w:sz w:val="32"/>
          <w:szCs w:val="32"/>
        </w:rPr>
      </w:pPr>
      <w:bookmarkStart w:id="68" w:name="_Toc55190912"/>
      <w:bookmarkStart w:id="69" w:name="_Toc56416800"/>
      <w:bookmarkStart w:id="70" w:name="_Toc55209076"/>
      <w:r>
        <w:rPr>
          <w:rFonts w:hint="eastAsia" w:ascii="楷体" w:hAnsi="楷体" w:eastAsia="楷体" w:cs="楷体"/>
          <w:b/>
          <w:bCs/>
          <w:color w:val="000000"/>
          <w:sz w:val="32"/>
          <w:szCs w:val="32"/>
        </w:rPr>
        <w:t>优化城镇空间格局</w:t>
      </w:r>
      <w:bookmarkEnd w:id="68"/>
      <w:bookmarkEnd w:id="69"/>
      <w:bookmarkEnd w:id="70"/>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围绕“休宁统筹、城镇联动、轴带展开、生态间隔、组团发展”空间发展战略，以城镇发展轴和城镇组团为主体形态，推动构建休宁县“一核三点、两轴四区”的城镇空间格局，推进以县城为重要载体的城镇化建设。一核：推动形成“县城</w:t>
      </w:r>
      <w:r>
        <w:rPr>
          <w:rFonts w:ascii="仿宋_GB2312" w:eastAsia="仿宋_GB2312" w:cs="仿宋_GB2312"/>
          <w:color w:val="000000"/>
          <w:sz w:val="32"/>
          <w:szCs w:val="32"/>
        </w:rPr>
        <w:t>+</w:t>
      </w:r>
      <w:r>
        <w:rPr>
          <w:rFonts w:hint="eastAsia" w:ascii="仿宋_GB2312" w:eastAsia="仿宋_GB2312" w:cs="仿宋_GB2312"/>
          <w:color w:val="000000"/>
          <w:sz w:val="32"/>
          <w:szCs w:val="32"/>
        </w:rPr>
        <w:t>万安”县域综合发展核心。完善县城、万安镇区功能体系，增加公共空间和公共绿地，提升公共服务水平和城市空间品质，勇当县城发展主力军。三点：蓝田、溪口、五城三个县域增长点。满足周边城乡居民的基本公共服务和就业需求，提升设施建设水平和服务配置。两轴：“齐云山</w:t>
      </w:r>
      <w:r>
        <w:rPr>
          <w:rFonts w:ascii="仿宋_GB2312" w:eastAsia="仿宋_GB2312" w:cs="仿宋_GB2312"/>
          <w:color w:val="000000"/>
          <w:sz w:val="32"/>
          <w:szCs w:val="32"/>
        </w:rPr>
        <w:t>-</w:t>
      </w:r>
      <w:r>
        <w:rPr>
          <w:rFonts w:hint="eastAsia" w:ascii="仿宋_GB2312" w:eastAsia="仿宋_GB2312" w:cs="仿宋_GB2312"/>
          <w:color w:val="000000"/>
          <w:sz w:val="32"/>
          <w:szCs w:val="32"/>
        </w:rPr>
        <w:t>休宁</w:t>
      </w:r>
      <w:r>
        <w:rPr>
          <w:rFonts w:ascii="仿宋_GB2312" w:eastAsia="仿宋_GB2312" w:cs="仿宋_GB2312"/>
          <w:color w:val="000000"/>
          <w:sz w:val="32"/>
          <w:szCs w:val="32"/>
        </w:rPr>
        <w:t>-</w:t>
      </w:r>
      <w:r>
        <w:rPr>
          <w:rFonts w:hint="eastAsia" w:ascii="仿宋_GB2312" w:eastAsia="仿宋_GB2312" w:cs="仿宋_GB2312"/>
          <w:color w:val="000000"/>
          <w:sz w:val="32"/>
          <w:szCs w:val="32"/>
        </w:rPr>
        <w:t>屯溪城镇发展轴”形成以横江为依托的文化服务发展主线，囊括齐云山养生文化、休宁状元文化及万安罗经文化。“黄山</w:t>
      </w:r>
      <w:r>
        <w:rPr>
          <w:rFonts w:ascii="仿宋_GB2312" w:eastAsia="仿宋_GB2312" w:cs="仿宋_GB2312"/>
          <w:color w:val="000000"/>
          <w:sz w:val="32"/>
          <w:szCs w:val="32"/>
        </w:rPr>
        <w:t>-</w:t>
      </w:r>
      <w:r>
        <w:rPr>
          <w:rFonts w:hint="eastAsia" w:ascii="仿宋_GB2312" w:eastAsia="仿宋_GB2312" w:cs="仿宋_GB2312"/>
          <w:color w:val="000000"/>
          <w:sz w:val="32"/>
          <w:szCs w:val="32"/>
        </w:rPr>
        <w:t>休宁</w:t>
      </w:r>
      <w:r>
        <w:rPr>
          <w:rFonts w:ascii="仿宋_GB2312" w:eastAsia="仿宋_GB2312" w:cs="仿宋_GB2312"/>
          <w:color w:val="000000"/>
          <w:sz w:val="32"/>
          <w:szCs w:val="32"/>
        </w:rPr>
        <w:t>-</w:t>
      </w:r>
      <w:r>
        <w:rPr>
          <w:rFonts w:hint="eastAsia" w:ascii="仿宋_GB2312" w:eastAsia="仿宋_GB2312" w:cs="仿宋_GB2312"/>
          <w:color w:val="000000"/>
          <w:sz w:val="32"/>
          <w:szCs w:val="32"/>
        </w:rPr>
        <w:t>婺源城镇发展轴”形成以交通轴线为依托的城镇化联动发展主线。四区：推动形成以蓝田为中心的北部休闲养生功能区、以县城为中心的中部综合功能区、以五城为中心的南部生态功能区、以溪口为中心的西部生态功能区四大功能板块建设，实现县域差异化发展。</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提升乡镇发展水平。</w:t>
      </w:r>
      <w:r>
        <w:rPr>
          <w:rFonts w:hint="eastAsia" w:ascii="仿宋_GB2312" w:eastAsia="仿宋_GB2312" w:cs="仿宋_GB2312"/>
          <w:color w:val="000000"/>
          <w:sz w:val="32"/>
          <w:szCs w:val="32"/>
        </w:rPr>
        <w:t>高标准推进齐云山镇区改造开发，拓展旅游业态，推动齐云旅游小镇再上新台阶，推进东临溪镇与市中心城区基础设施衔接互通，建成市郊宜居宜业重镇，优化五城、商山发展定位，承接市中心辐射带动，建设南部经济强镇，依托月潭湖旅游发展，将月潭湖镇建成新兴旅游名镇，推进溪口多业融合，探索综合发展新模式，支持蓝田打造高端民宿集群</w:t>
      </w:r>
      <w:r>
        <w:rPr>
          <w:rFonts w:ascii="仿宋_GB2312" w:eastAsia="仿宋_GB2312" w:cs="仿宋_GB2312"/>
          <w:color w:val="000000"/>
          <w:sz w:val="32"/>
          <w:szCs w:val="32"/>
        </w:rPr>
        <w:t>,</w:t>
      </w:r>
      <w:r>
        <w:rPr>
          <w:rFonts w:hint="eastAsia" w:ascii="仿宋_GB2312" w:eastAsia="仿宋_GB2312" w:cs="仿宋_GB2312"/>
          <w:color w:val="000000"/>
          <w:sz w:val="32"/>
          <w:szCs w:val="32"/>
        </w:rPr>
        <w:t>成为大黄山旅游的重要驿站，激活新安江源头生态优势，推动流口、汪村、鹤城一体建成生态文明建设核心展示区。鼓励和支持其他乡镇立足自身条件</w:t>
      </w:r>
      <w:r>
        <w:rPr>
          <w:rFonts w:ascii="仿宋_GB2312" w:eastAsia="仿宋_GB2312" w:cs="仿宋_GB2312"/>
          <w:color w:val="000000"/>
          <w:sz w:val="32"/>
          <w:szCs w:val="32"/>
        </w:rPr>
        <w:t>,</w:t>
      </w:r>
      <w:r>
        <w:rPr>
          <w:rFonts w:hint="eastAsia" w:ascii="仿宋_GB2312" w:eastAsia="仿宋_GB2312" w:cs="仿宋_GB2312"/>
          <w:color w:val="000000"/>
          <w:sz w:val="32"/>
          <w:szCs w:val="32"/>
        </w:rPr>
        <w:t>走出各具特色的发展之路。</w:t>
      </w:r>
    </w:p>
    <w:p>
      <w:pPr>
        <w:spacing w:line="560" w:lineRule="exact"/>
        <w:ind w:firstLine="642" w:firstLineChars="200"/>
        <w:rPr>
          <w:rFonts w:ascii="仿宋_GB2312" w:eastAsia="仿宋_GB2312"/>
          <w:color w:val="000000"/>
          <w:sz w:val="32"/>
          <w:szCs w:val="32"/>
        </w:rPr>
      </w:pPr>
      <w:bookmarkStart w:id="71" w:name="_Toc56416801"/>
      <w:r>
        <w:rPr>
          <w:rFonts w:hint="eastAsia" w:ascii="楷体" w:hAnsi="楷体" w:eastAsia="楷体" w:cs="楷体"/>
          <w:b/>
          <w:bCs/>
          <w:color w:val="000000"/>
          <w:sz w:val="32"/>
          <w:szCs w:val="32"/>
        </w:rPr>
        <w:t>增强人口集聚能力</w:t>
      </w:r>
      <w:bookmarkEnd w:id="7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深化户籍制度改革，有序推进农业转移人口市民化，推动农民进城就业、生活。有序放开城市落户限制，合理确定城市落户条件，实行高职院校毕业生、技术工人零门槛落户，促进农业转移人口等非户籍人口便捷落户。适应农业转移人口高流动性要求，推动社会保险权益顺畅转移、接续，推动城镇基本公共服务覆盖未落户常住人口。加强房地产调控，引导房地产市场健康发展。保障解决新落户市民住房问题，完善多层次、多元化的住房保障体系。深入实施农民工职业技能提升计划，加强农业转移人口教育和培训。多渠道筹措资金，解决农民工市民化的高额成本。</w:t>
      </w:r>
    </w:p>
    <w:p>
      <w:pPr>
        <w:spacing w:line="560" w:lineRule="exact"/>
        <w:ind w:firstLine="642" w:firstLineChars="200"/>
        <w:rPr>
          <w:rFonts w:ascii="仿宋_GB2312" w:eastAsia="仿宋_GB2312"/>
          <w:color w:val="000000"/>
          <w:sz w:val="32"/>
          <w:szCs w:val="32"/>
        </w:rPr>
      </w:pPr>
      <w:bookmarkStart w:id="72" w:name="_Toc56416802"/>
      <w:bookmarkStart w:id="73" w:name="_Toc55190914"/>
      <w:bookmarkStart w:id="74" w:name="_Toc55209078"/>
      <w:r>
        <w:rPr>
          <w:rFonts w:hint="eastAsia" w:ascii="楷体" w:hAnsi="楷体" w:eastAsia="楷体" w:cs="楷体"/>
          <w:b/>
          <w:bCs/>
          <w:color w:val="000000"/>
          <w:sz w:val="32"/>
          <w:szCs w:val="32"/>
        </w:rPr>
        <w:t>改善城镇人居环境</w:t>
      </w:r>
      <w:bookmarkEnd w:id="72"/>
      <w:bookmarkEnd w:id="73"/>
      <w:bookmarkEnd w:id="7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进城镇规划建设管理“六项行动”“三边三线”绿化提升行动，以点带面推动植树造林工作开展。围绕龙田重要节点建设，精心打造一批绿化亮点，全力建设转型增效点，推动岭南、龙田等省级交界和黄塔桃高速等重要区域绿化、亮化提升。努力提高城市绿化覆盖率，形成融山、水、林、园、城为一体，点、线、面相结合的城市绿地系统。推动旅游景区及周边环境、公路铁路沿线整治。加强风景名胜区和旅游景点旅游配套设施建设，开展景区周边村庄环境整治提升。大力整治沿线两侧涉及的</w:t>
      </w:r>
      <w:r>
        <w:rPr>
          <w:rFonts w:hint="eastAsia" w:ascii="仿宋_GB2312" w:eastAsia="仿宋_GB2312" w:cs="仿宋_GB2312"/>
          <w:color w:val="000000"/>
          <w:sz w:val="32"/>
          <w:szCs w:val="32"/>
          <w:lang w:eastAsia="zh-CN"/>
        </w:rPr>
        <w:t>城乡接合部</w:t>
      </w:r>
      <w:r>
        <w:rPr>
          <w:rFonts w:hint="eastAsia" w:ascii="仿宋_GB2312" w:eastAsia="仿宋_GB2312" w:cs="仿宋_GB2312"/>
          <w:color w:val="000000"/>
          <w:sz w:val="32"/>
          <w:szCs w:val="32"/>
        </w:rPr>
        <w:t>、村庄和企业厂房，开展植树绿化，保护和恢复自然生态。推动新区建设融入传统徽文化元素，在城镇规划中发掘文化资源，延续城镇历史文脉，强化文化传承创新，坚持慎砍树、不填湖、少拆房，打造历史底蕴深厚、人文特色鲜明、文化韵味十足的城镇空间。</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加快特色小镇建设。</w:t>
      </w:r>
      <w:r>
        <w:rPr>
          <w:rFonts w:hint="eastAsia" w:ascii="仿宋_GB2312" w:eastAsia="仿宋_GB2312" w:cs="仿宋_GB2312"/>
          <w:color w:val="000000"/>
          <w:sz w:val="32"/>
          <w:szCs w:val="32"/>
        </w:rPr>
        <w:t>利用休宁优势资源，强化生态、文化、产业元素，围绕产业发展新前沿和消费升级新变化，引进创新要素和市场投资，加快业态创新，着力打造一批市级以上示范性特色小镇。以齐云旅游小镇为示范引领，重点打造溪口汽配小镇，深入挖掘小镇识别度高的文化主题与特质，涵养小镇的文化生命力，精心谋划、开发特色小镇独特优势和卖点，激发游客“打卡”热情，扩大小镇的旅游辐射力，注重产城融合与生态保护相结合，强化小镇的生态保护力，推动特色小镇形成生产、生活、生态“三生融合”的良好环境。</w:t>
      </w:r>
    </w:p>
    <w:p>
      <w:pPr>
        <w:pStyle w:val="4"/>
        <w:numPr>
          <w:ilvl w:val="0"/>
          <w:numId w:val="10"/>
        </w:numPr>
        <w:spacing w:before="156" w:after="156" w:line="560" w:lineRule="exact"/>
        <w:ind w:left="426"/>
        <w:rPr>
          <w:rFonts w:cs="Times New Roman"/>
          <w:color w:val="000000"/>
        </w:rPr>
      </w:pPr>
      <w:bookmarkStart w:id="75" w:name="_Toc72935897"/>
      <w:r>
        <w:rPr>
          <w:rFonts w:hint="eastAsia" w:cs="楷体"/>
          <w:color w:val="000000"/>
        </w:rPr>
        <w:t>提高城市管理水平</w:t>
      </w:r>
      <w:bookmarkEnd w:id="7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坚持精准施策、精细管理，以法制化、专业化为着力点，提升城市精细化管理水平，提升人民获得感和幸福感。</w:t>
      </w:r>
    </w:p>
    <w:p>
      <w:pPr>
        <w:spacing w:line="560" w:lineRule="exact"/>
        <w:ind w:firstLine="642" w:firstLineChars="200"/>
        <w:rPr>
          <w:rFonts w:ascii="仿宋_GB2312" w:eastAsia="仿宋_GB2312"/>
          <w:color w:val="000000"/>
          <w:sz w:val="32"/>
          <w:szCs w:val="32"/>
        </w:rPr>
      </w:pPr>
      <w:bookmarkStart w:id="76" w:name="_Toc55209088"/>
      <w:bookmarkStart w:id="77" w:name="_Toc56416804"/>
      <w:bookmarkStart w:id="78" w:name="_Toc55190924"/>
      <w:r>
        <w:rPr>
          <w:rFonts w:hint="eastAsia" w:ascii="楷体" w:hAnsi="楷体" w:eastAsia="楷体" w:cs="楷体"/>
          <w:b/>
          <w:bCs/>
          <w:color w:val="000000"/>
          <w:sz w:val="32"/>
          <w:szCs w:val="32"/>
        </w:rPr>
        <w:t>推进城市管理法治化</w:t>
      </w:r>
      <w:bookmarkEnd w:id="76"/>
      <w:bookmarkEnd w:id="77"/>
      <w:bookmarkEnd w:id="7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加强城市管理和执法制度建设，规范执法职责，不断建立完善决策机制，不断健全规范性文件制定程序。严格履行行政监管责任，完善监管方式，加强事前、事中、事后监管，建立健全对象名录库和执法检查人员名录库。完成城市管理领域的机构综合设置、组建综合执法队伍。全面推行行政执法公示制度、执法全过程记录制度、重大行政执法决定法制审核制度，推进规范公正文明执法。强化行政执法与司法衔接，依法打击妨碍城市管理执法和暴力抗法行为。</w:t>
      </w:r>
    </w:p>
    <w:p>
      <w:pPr>
        <w:spacing w:line="560" w:lineRule="exact"/>
        <w:ind w:firstLine="642" w:firstLineChars="200"/>
        <w:rPr>
          <w:rFonts w:ascii="仿宋_GB2312" w:eastAsia="仿宋_GB2312"/>
          <w:color w:val="000000"/>
          <w:sz w:val="30"/>
          <w:szCs w:val="30"/>
        </w:rPr>
      </w:pPr>
      <w:bookmarkStart w:id="79" w:name="_Toc56416805"/>
      <w:r>
        <w:rPr>
          <w:rFonts w:hint="eastAsia" w:ascii="楷体" w:hAnsi="楷体" w:eastAsia="楷体" w:cs="楷体"/>
          <w:b/>
          <w:bCs/>
          <w:color w:val="000000"/>
          <w:sz w:val="32"/>
          <w:szCs w:val="32"/>
        </w:rPr>
        <w:t>促进城市管理专业化</w:t>
      </w:r>
      <w:bookmarkEnd w:id="7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完善精细化管理标准规范，实行精细化管理的监管和考核。加强专业化队伍建设，加快培养一批懂城市、会管理的城市管理干部和专业人才，持续推动乡镇执法力量下沉。推动县数字城管功能进一步拓展和智慧化升级，加大数字城管覆盖面。鼓励采用政府购买服务、与社会资本合作等模式，引入专业化城市管理和服务运营商提供专业化服务，开展公共停车位社会化购买服务项目。</w:t>
      </w:r>
      <w:bookmarkEnd w:id="55"/>
      <w:r>
        <w:rPr>
          <w:rFonts w:hint="eastAsia" w:ascii="仿宋_GB2312" w:eastAsia="仿宋_GB2312" w:cs="仿宋_GB2312"/>
          <w:color w:val="000000"/>
          <w:sz w:val="32"/>
          <w:szCs w:val="32"/>
        </w:rPr>
        <w:t>进一步提升智能化环卫系统建设水平，完善生活垃圾、建筑垃圾和工业垃圾分类一体化体系。</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城乡基础设施建设工程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品质县城建设：</w:t>
            </w:r>
            <w:r>
              <w:rPr>
                <w:rFonts w:hint="eastAsia" w:ascii="仿宋_GB2312" w:cs="仿宋_GB2312"/>
                <w:color w:val="000000"/>
                <w:sz w:val="24"/>
                <w:szCs w:val="24"/>
              </w:rPr>
              <w:t>休宁县城市基础设施及水环境综合整治</w:t>
            </w:r>
            <w:r>
              <w:rPr>
                <w:rFonts w:ascii="仿宋_GB2312" w:cs="仿宋_GB2312"/>
                <w:color w:val="000000"/>
                <w:sz w:val="24"/>
                <w:szCs w:val="24"/>
              </w:rPr>
              <w:t>PPP</w:t>
            </w:r>
            <w:r>
              <w:rPr>
                <w:rFonts w:hint="eastAsia" w:ascii="仿宋_GB2312" w:cs="仿宋_GB2312"/>
                <w:color w:val="000000"/>
                <w:sz w:val="24"/>
                <w:szCs w:val="24"/>
              </w:rPr>
              <w:t>项目、石人前大桥、中国电信休宁分公司通信楼附属楼、县委党校迁建、文昌西桥、海阳镇老城区基础设施提升工程、休宁县景城片区生态环境提升工程、休宁县老城区排水防涝治理及雨水管网工程、老城区照明设施提升改造、老旧小区及周边配套基础设施提升改造工程、休宁县城区供水管网升级改造工程、城东片区基础设施提升工程、城区园林绿化提升工程、休宁县广播电视网络升级改造项目、休宁县图书馆</w:t>
            </w:r>
            <w:r>
              <w:rPr>
                <w:rFonts w:ascii="仿宋_GB2312" w:cs="仿宋_GB2312"/>
                <w:color w:val="000000"/>
                <w:sz w:val="24"/>
                <w:szCs w:val="24"/>
              </w:rPr>
              <w:t>24</w:t>
            </w:r>
            <w:r>
              <w:rPr>
                <w:rFonts w:hint="eastAsia" w:ascii="仿宋_GB2312" w:cs="仿宋_GB2312"/>
                <w:color w:val="000000"/>
                <w:sz w:val="24"/>
                <w:szCs w:val="24"/>
              </w:rPr>
              <w:t>小时自助图书馆和少儿阅览室改造建设项目、老旧小区改造项目、城南棚改安置区、休宁县未成年人保护中心、滨江新城、时代花园项目、横江府二期、春江翡翠城、学府苑。</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城镇改造提升：</w:t>
            </w:r>
            <w:r>
              <w:rPr>
                <w:rFonts w:hint="eastAsia" w:ascii="仿宋_GB2312" w:cs="仿宋_GB2312"/>
                <w:color w:val="000000"/>
                <w:sz w:val="24"/>
                <w:szCs w:val="24"/>
              </w:rPr>
              <w:t>溪口镇基础设施改造提升、镇区一河两岸景观提升工程、横江社区综合服务楼、萝宁社区综合服务中心、齐宁社区综合服务中心、万宁社区综合服务中心、黄回北路亮化工程、溪口农贸市场和停车场建设工程、山斗乡基础设施改造提升工程、溪口大道街面综合整治、中央厨房洗净中心、万安镇高铁安置点项目、蓝田镇高铁安置区建设、新塘村高铁安置点项目、月潭湖镇移民安置点美化亮化工程、黄山恒大林溪郡、蓝田镇灾后重建项目、山洪沟清淤整治、东临溪镇健康新城、月潭湖镇集体厂房建设工程、月潭湖镇环湖道路亮化工程、库区生产便道建设、月潭湖镇环湖道路景观及观景台建设、智慧月潭湖、板桥乡物联网及信息平台建设。</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能源保障：</w:t>
            </w:r>
            <w:r>
              <w:rPr>
                <w:rFonts w:ascii="仿宋_GB2312" w:cs="仿宋_GB2312"/>
                <w:color w:val="000000"/>
                <w:sz w:val="24"/>
                <w:szCs w:val="24"/>
              </w:rPr>
              <w:t>LNG</w:t>
            </w:r>
            <w:r>
              <w:rPr>
                <w:rFonts w:hint="eastAsia" w:ascii="仿宋_GB2312" w:cs="仿宋_GB2312"/>
                <w:color w:val="000000"/>
                <w:sz w:val="24"/>
                <w:szCs w:val="24"/>
              </w:rPr>
              <w:t>储气站及管网工程、天然气徽州至休宁管线项目、临溪燃气站项目、安徽黄山休宁县</w:t>
            </w:r>
            <w:r>
              <w:rPr>
                <w:rFonts w:ascii="仿宋_GB2312" w:cs="仿宋_GB2312"/>
                <w:color w:val="000000"/>
                <w:sz w:val="24"/>
                <w:szCs w:val="24"/>
              </w:rPr>
              <w:t>35</w:t>
            </w:r>
            <w:r>
              <w:rPr>
                <w:rFonts w:hint="eastAsia" w:ascii="仿宋_GB2312" w:cs="仿宋_GB2312"/>
                <w:color w:val="000000"/>
                <w:sz w:val="24"/>
                <w:szCs w:val="24"/>
              </w:rPr>
              <w:t>千伏兰渡输变电工程、安徽黄山休宁县农网升级工程、里庄抽水蓄能电站、安徽黄山休宁县</w:t>
            </w:r>
            <w:r>
              <w:rPr>
                <w:rFonts w:ascii="仿宋_GB2312" w:cs="仿宋_GB2312"/>
                <w:color w:val="000000"/>
                <w:sz w:val="24"/>
                <w:szCs w:val="24"/>
              </w:rPr>
              <w:t>35</w:t>
            </w:r>
            <w:r>
              <w:rPr>
                <w:rFonts w:hint="eastAsia" w:ascii="仿宋_GB2312" w:cs="仿宋_GB2312"/>
                <w:color w:val="000000"/>
                <w:sz w:val="24"/>
                <w:szCs w:val="24"/>
              </w:rPr>
              <w:t>千伏临溪输变电工程、安徽黄山休宁县</w:t>
            </w:r>
            <w:r>
              <w:rPr>
                <w:rFonts w:ascii="仿宋_GB2312" w:cs="仿宋_GB2312"/>
                <w:color w:val="000000"/>
                <w:sz w:val="24"/>
                <w:szCs w:val="24"/>
              </w:rPr>
              <w:t>35</w:t>
            </w:r>
            <w:r>
              <w:rPr>
                <w:rFonts w:hint="eastAsia" w:ascii="仿宋_GB2312" w:cs="仿宋_GB2312"/>
                <w:color w:val="000000"/>
                <w:sz w:val="24"/>
                <w:szCs w:val="24"/>
              </w:rPr>
              <w:t>千伏月潭湖镇输变电工程、移民安置点光伏项目、东临溪</w:t>
            </w:r>
            <w:r>
              <w:rPr>
                <w:rFonts w:ascii="仿宋_GB2312" w:cs="仿宋_GB2312"/>
                <w:color w:val="000000"/>
                <w:sz w:val="24"/>
                <w:szCs w:val="24"/>
              </w:rPr>
              <w:t>110KW</w:t>
            </w:r>
            <w:r>
              <w:rPr>
                <w:rFonts w:hint="eastAsia" w:ascii="仿宋_GB2312" w:cs="仿宋_GB2312"/>
                <w:color w:val="000000"/>
                <w:sz w:val="24"/>
                <w:szCs w:val="24"/>
              </w:rPr>
              <w:t>变电站、东临溪供水二次加压泵站。</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航空建设：</w:t>
            </w:r>
            <w:r>
              <w:rPr>
                <w:rFonts w:hint="eastAsia" w:ascii="仿宋_GB2312" w:cs="仿宋_GB2312"/>
                <w:color w:val="000000"/>
                <w:sz w:val="24"/>
                <w:szCs w:val="24"/>
              </w:rPr>
              <w:t>黄山机场迁建、休宁</w:t>
            </w:r>
            <w:r>
              <w:rPr>
                <w:rFonts w:ascii="仿宋_GB2312" w:cs="仿宋_GB2312"/>
                <w:color w:val="000000"/>
                <w:sz w:val="24"/>
                <w:szCs w:val="24"/>
              </w:rPr>
              <w:t>A2</w:t>
            </w:r>
            <w:r>
              <w:rPr>
                <w:rFonts w:hint="eastAsia" w:ascii="仿宋_GB2312" w:cs="仿宋_GB2312"/>
                <w:color w:val="000000"/>
                <w:sz w:val="24"/>
                <w:szCs w:val="24"/>
              </w:rPr>
              <w:t>级通用机场。</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国省干线公路：</w:t>
            </w:r>
            <w:r>
              <w:rPr>
                <w:rFonts w:ascii="仿宋_GB2312" w:cs="仿宋_GB2312"/>
                <w:color w:val="000000"/>
                <w:sz w:val="24"/>
                <w:szCs w:val="24"/>
              </w:rPr>
              <w:t>G530</w:t>
            </w:r>
            <w:r>
              <w:rPr>
                <w:rFonts w:hint="eastAsia" w:ascii="仿宋_GB2312" w:cs="仿宋_GB2312"/>
                <w:color w:val="000000"/>
                <w:sz w:val="24"/>
                <w:szCs w:val="24"/>
              </w:rPr>
              <w:t>黟县叶村至休宁东亭段公路改建工程、</w:t>
            </w:r>
            <w:r>
              <w:rPr>
                <w:rFonts w:ascii="仿宋_GB2312" w:cs="仿宋_GB2312"/>
                <w:color w:val="000000"/>
                <w:sz w:val="24"/>
                <w:szCs w:val="24"/>
              </w:rPr>
              <w:t>S349</w:t>
            </w:r>
            <w:r>
              <w:rPr>
                <w:rFonts w:hint="eastAsia" w:ascii="仿宋_GB2312" w:cs="仿宋_GB2312"/>
                <w:color w:val="000000"/>
                <w:sz w:val="24"/>
                <w:szCs w:val="24"/>
              </w:rPr>
              <w:t>屯休交界至浮潭段公路改建工程、休宁县县城环城北路工程、休宁县上里至浮潭公路工程（月潭水库至屯浮公路连接线）、休宁县流口至四门公路工程（德上高速连接线）、</w:t>
            </w:r>
            <w:r>
              <w:rPr>
                <w:rFonts w:ascii="仿宋_GB2312" w:cs="仿宋_GB2312"/>
                <w:color w:val="000000"/>
                <w:sz w:val="24"/>
                <w:szCs w:val="24"/>
              </w:rPr>
              <w:t>G205</w:t>
            </w:r>
            <w:r>
              <w:rPr>
                <w:rFonts w:hint="eastAsia" w:ascii="仿宋_GB2312" w:cs="仿宋_GB2312"/>
                <w:color w:val="000000"/>
                <w:sz w:val="24"/>
                <w:szCs w:val="24"/>
              </w:rPr>
              <w:t>休宁大转盘至新塘段公路改建工程、</w:t>
            </w:r>
            <w:r>
              <w:rPr>
                <w:rFonts w:ascii="仿宋_GB2312" w:cs="仿宋_GB2312"/>
                <w:color w:val="000000"/>
                <w:sz w:val="24"/>
                <w:szCs w:val="24"/>
              </w:rPr>
              <w:t>G205</w:t>
            </w:r>
            <w:r>
              <w:rPr>
                <w:rFonts w:hint="eastAsia" w:ascii="仿宋_GB2312" w:cs="仿宋_GB2312"/>
                <w:color w:val="000000"/>
                <w:sz w:val="24"/>
                <w:szCs w:val="24"/>
              </w:rPr>
              <w:t>屯休界至东临溪段公路改建工程。</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县乡道路：</w:t>
            </w:r>
            <w:r>
              <w:rPr>
                <w:rFonts w:hint="eastAsia" w:ascii="仿宋_GB2312" w:cs="仿宋_GB2312"/>
                <w:color w:val="000000"/>
                <w:sz w:val="24"/>
                <w:szCs w:val="24"/>
              </w:rPr>
              <w:t>承接物流园东接路网建设项目、宁溪公路畅通工程、古塘至首村道路提升改造工程、兰七路改建工程、移民生产道路建设、市区绕城道路（东临溪段）、汊和路改扩建工程、新塘至柳州道路提升改造工程项目、海柳路提升改造工程项目、</w:t>
            </w:r>
            <w:r>
              <w:rPr>
                <w:rFonts w:ascii="仿宋_GB2312" w:cs="仿宋_GB2312"/>
                <w:color w:val="000000"/>
                <w:sz w:val="24"/>
                <w:szCs w:val="24"/>
              </w:rPr>
              <w:t>G237</w:t>
            </w:r>
            <w:r>
              <w:rPr>
                <w:rFonts w:hint="eastAsia" w:ascii="仿宋_GB2312" w:cs="仿宋_GB2312"/>
                <w:color w:val="000000"/>
                <w:sz w:val="24"/>
                <w:szCs w:val="24"/>
              </w:rPr>
              <w:t>璜茅岭</w:t>
            </w:r>
            <w:r>
              <w:rPr>
                <w:rFonts w:ascii="仿宋_GB2312" w:cs="仿宋_GB2312"/>
                <w:color w:val="000000"/>
                <w:sz w:val="24"/>
                <w:szCs w:val="24"/>
              </w:rPr>
              <w:t>-</w:t>
            </w:r>
            <w:r>
              <w:rPr>
                <w:rFonts w:hint="eastAsia" w:ascii="仿宋_GB2312" w:cs="仿宋_GB2312"/>
                <w:color w:val="000000"/>
                <w:sz w:val="24"/>
                <w:szCs w:val="24"/>
              </w:rPr>
              <w:t>东流隧道、五城镇特色街区道路、德尚高速配套项目、流大路提升改造工程、溪冯路提升改造工程、空港物流园接线公路、榆村乡建成区道路改线工程、蓝田镇道路改造工程、藏溪村过境道路建设工程、</w:t>
            </w:r>
            <w:r>
              <w:rPr>
                <w:rFonts w:hint="eastAsia" w:ascii="宋体" w:hAnsi="宋体" w:eastAsia="宋体" w:cs="宋体"/>
                <w:color w:val="000000"/>
                <w:sz w:val="24"/>
                <w:szCs w:val="24"/>
              </w:rPr>
              <w:t>珮瑯</w:t>
            </w:r>
            <w:r>
              <w:rPr>
                <w:rFonts w:hint="eastAsia" w:ascii="仿宋_GB2312" w:hAnsi="仿宋_GB2312" w:cs="仿宋_GB2312"/>
                <w:color w:val="000000"/>
                <w:sz w:val="24"/>
                <w:szCs w:val="24"/>
              </w:rPr>
              <w:t>西路接线工程、太塘至东临溪道路拓宽延</w:t>
            </w:r>
            <w:r>
              <w:rPr>
                <w:rFonts w:hint="eastAsia" w:ascii="仿宋_GB2312" w:cs="仿宋_GB2312"/>
                <w:color w:val="000000"/>
                <w:sz w:val="24"/>
                <w:szCs w:val="24"/>
              </w:rPr>
              <w:t>升工程</w:t>
            </w:r>
            <w:r>
              <w:rPr>
                <w:rFonts w:hint="eastAsia" w:ascii="仿宋_GB2312" w:cs="仿宋_GB2312"/>
                <w:color w:val="000000"/>
                <w:spacing w:val="-30"/>
                <w:sz w:val="24"/>
                <w:szCs w:val="24"/>
              </w:rPr>
              <w:t>、</w:t>
            </w:r>
            <w:r>
              <w:rPr>
                <w:rFonts w:hint="eastAsia" w:ascii="仿宋_GB2312" w:cs="仿宋_GB2312"/>
                <w:color w:val="000000"/>
                <w:sz w:val="24"/>
                <w:szCs w:val="24"/>
              </w:rPr>
              <w:t>商山镇道路基础设施建设</w:t>
            </w:r>
            <w:r>
              <w:rPr>
                <w:rFonts w:hint="eastAsia" w:ascii="仿宋_GB2312" w:cs="仿宋_GB2312"/>
                <w:color w:val="000000"/>
                <w:spacing w:val="-30"/>
                <w:sz w:val="24"/>
                <w:szCs w:val="24"/>
              </w:rPr>
              <w:t>、</w:t>
            </w:r>
            <w:r>
              <w:rPr>
                <w:rFonts w:hint="eastAsia" w:ascii="仿宋_GB2312" w:cs="仿宋_GB2312"/>
                <w:color w:val="000000"/>
                <w:sz w:val="24"/>
                <w:szCs w:val="24"/>
              </w:rPr>
              <w:t>城区道路提升改造</w:t>
            </w:r>
            <w:r>
              <w:rPr>
                <w:rFonts w:hint="eastAsia" w:ascii="仿宋_GB2312" w:cs="仿宋_GB2312"/>
                <w:color w:val="000000"/>
                <w:spacing w:val="-30"/>
                <w:sz w:val="24"/>
                <w:szCs w:val="24"/>
              </w:rPr>
              <w:t>、</w:t>
            </w:r>
            <w:r>
              <w:rPr>
                <w:rFonts w:hint="eastAsia" w:ascii="仿宋_GB2312" w:cs="仿宋_GB2312"/>
                <w:color w:val="000000"/>
                <w:sz w:val="24"/>
                <w:szCs w:val="24"/>
              </w:rPr>
              <w:t>农村公路提升改造项目、月潭湖镇移民生产道路建设。</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公共交通：</w:t>
            </w:r>
            <w:r>
              <w:rPr>
                <w:rFonts w:hint="eastAsia" w:ascii="仿宋_GB2312" w:cs="仿宋_GB2312"/>
                <w:color w:val="000000"/>
                <w:sz w:val="24"/>
                <w:szCs w:val="24"/>
              </w:rPr>
              <w:t>绿色交通发展中心、休宁县五城镇三级客运站。</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水利建设：</w:t>
            </w:r>
            <w:r>
              <w:rPr>
                <w:rFonts w:hint="eastAsia" w:ascii="仿宋_GB2312" w:cs="仿宋_GB2312"/>
                <w:color w:val="000000"/>
                <w:sz w:val="24"/>
                <w:szCs w:val="24"/>
              </w:rPr>
              <w:t>央冲、言田等灌区建设、镇域水利设施固本工程、商山镇水利基础设施建设、</w:t>
            </w:r>
            <w:r>
              <w:rPr>
                <w:rFonts w:hint="eastAsia" w:ascii="仿宋_GB2312" w:cs="仿宋_GB2312"/>
                <w:color w:val="000000"/>
                <w:sz w:val="24"/>
                <w:szCs w:val="24"/>
                <w:shd w:val="clear" w:color="auto" w:fill="FFFFFF"/>
              </w:rPr>
              <w:t>黄山市休宁县海阳镇石人村等（</w:t>
            </w:r>
            <w:r>
              <w:rPr>
                <w:rFonts w:ascii="仿宋_GB2312" w:cs="仿宋_GB2312"/>
                <w:color w:val="000000"/>
                <w:sz w:val="24"/>
                <w:szCs w:val="24"/>
                <w:shd w:val="clear" w:color="auto" w:fill="FFFFFF"/>
              </w:rPr>
              <w:t>3</w:t>
            </w:r>
            <w:r>
              <w:rPr>
                <w:rFonts w:hint="eastAsia" w:ascii="仿宋_GB2312" w:cs="仿宋_GB2312"/>
                <w:color w:val="000000"/>
                <w:sz w:val="24"/>
                <w:szCs w:val="24"/>
                <w:shd w:val="clear" w:color="auto" w:fill="FFFFFF"/>
              </w:rPr>
              <w:t>）个村</w:t>
            </w:r>
            <w:r>
              <w:rPr>
                <w:rFonts w:ascii="仿宋_GB2312" w:cs="仿宋_GB2312"/>
                <w:color w:val="000000"/>
                <w:sz w:val="24"/>
                <w:szCs w:val="24"/>
                <w:shd w:val="clear" w:color="auto" w:fill="FFFFFF"/>
              </w:rPr>
              <w:t>2020</w:t>
            </w:r>
            <w:r>
              <w:rPr>
                <w:rFonts w:hint="eastAsia" w:ascii="仿宋_GB2312" w:cs="仿宋_GB2312"/>
                <w:color w:val="000000"/>
                <w:sz w:val="24"/>
                <w:szCs w:val="24"/>
                <w:shd w:val="clear" w:color="auto" w:fill="FFFFFF"/>
              </w:rPr>
              <w:t>年度高标准农田建设项目、溪口农田水利基本建设。</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雨污水设施：</w:t>
            </w:r>
            <w:r>
              <w:rPr>
                <w:rFonts w:hint="eastAsia" w:ascii="仿宋_GB2312" w:cs="仿宋_GB2312"/>
                <w:color w:val="000000"/>
                <w:sz w:val="24"/>
                <w:szCs w:val="24"/>
              </w:rPr>
              <w:t>东临溪镇污水管网提升改造工程、亚行自来水污水项目、滨江路污水管道改造工程、万安镇污水管网项目、东临溪镇区污水管网工程、城区雨污水管网检测修复工程、回岭、泮路污水处理</w:t>
            </w:r>
            <w:r>
              <w:rPr>
                <w:rFonts w:ascii="仿宋_GB2312" w:cs="仿宋_GB2312"/>
                <w:color w:val="000000"/>
                <w:sz w:val="24"/>
                <w:szCs w:val="24"/>
              </w:rPr>
              <w:t>3P</w:t>
            </w:r>
            <w:r>
              <w:rPr>
                <w:rFonts w:hint="eastAsia" w:ascii="仿宋_GB2312" w:cs="仿宋_GB2312"/>
                <w:color w:val="000000"/>
                <w:sz w:val="24"/>
                <w:szCs w:val="24"/>
              </w:rPr>
              <w:t>项目。</w:t>
            </w:r>
          </w:p>
          <w:p>
            <w:pPr>
              <w:pStyle w:val="25"/>
              <w:numPr>
                <w:ilvl w:val="0"/>
                <w:numId w:val="8"/>
              </w:numPr>
              <w:spacing w:line="360" w:lineRule="exact"/>
              <w:rPr>
                <w:rFonts w:ascii="仿宋_GB2312" w:cs="Times New Roman"/>
                <w:color w:val="000000"/>
                <w:sz w:val="28"/>
                <w:szCs w:val="28"/>
              </w:rPr>
            </w:pPr>
            <w:r>
              <w:rPr>
                <w:rFonts w:hint="eastAsia" w:ascii="仿宋_GB2312" w:cs="仿宋_GB2312"/>
                <w:b/>
                <w:bCs/>
                <w:color w:val="000000"/>
                <w:sz w:val="24"/>
                <w:szCs w:val="24"/>
              </w:rPr>
              <w:t>生活用水建设：</w:t>
            </w:r>
            <w:r>
              <w:rPr>
                <w:rFonts w:hint="eastAsia" w:ascii="仿宋_GB2312" w:cs="仿宋_GB2312"/>
                <w:color w:val="000000"/>
                <w:sz w:val="24"/>
                <w:szCs w:val="24"/>
              </w:rPr>
              <w:t>黄山市南部城镇群月潭水厂项目、渭桥乡饮水工程、云岩湖自来水厂、</w:t>
            </w:r>
            <w:r>
              <w:rPr>
                <w:rFonts w:hint="eastAsia" w:ascii="仿宋_GB2312" w:cs="仿宋_GB2312"/>
                <w:color w:val="000000"/>
                <w:sz w:val="24"/>
                <w:szCs w:val="24"/>
                <w:shd w:val="clear" w:color="auto" w:fill="FFFFFF"/>
              </w:rPr>
              <w:t>休宁县</w:t>
            </w:r>
            <w:r>
              <w:rPr>
                <w:rFonts w:ascii="仿宋_GB2312" w:cs="仿宋_GB2312"/>
                <w:color w:val="000000"/>
                <w:sz w:val="24"/>
                <w:szCs w:val="24"/>
                <w:shd w:val="clear" w:color="auto" w:fill="FFFFFF"/>
              </w:rPr>
              <w:t>2021</w:t>
            </w:r>
            <w:r>
              <w:rPr>
                <w:rFonts w:hint="eastAsia" w:ascii="仿宋_GB2312" w:cs="仿宋_GB2312"/>
                <w:color w:val="000000"/>
                <w:sz w:val="24"/>
                <w:szCs w:val="24"/>
                <w:shd w:val="clear" w:color="auto" w:fill="FFFFFF"/>
              </w:rPr>
              <w:t>年农村饮水安全巩固提升工程、休宁县</w:t>
            </w:r>
            <w:r>
              <w:rPr>
                <w:rFonts w:ascii="仿宋_GB2312" w:cs="仿宋_GB2312"/>
                <w:color w:val="000000"/>
                <w:sz w:val="24"/>
                <w:szCs w:val="24"/>
                <w:shd w:val="clear" w:color="auto" w:fill="FFFFFF"/>
              </w:rPr>
              <w:t>2022</w:t>
            </w:r>
            <w:r>
              <w:rPr>
                <w:rFonts w:hint="eastAsia" w:ascii="仿宋_GB2312" w:cs="仿宋_GB2312"/>
                <w:color w:val="000000"/>
                <w:sz w:val="24"/>
                <w:szCs w:val="24"/>
                <w:shd w:val="clear" w:color="auto" w:fill="FFFFFF"/>
              </w:rPr>
              <w:t>年农村饮水安全巩固提升工程、休宁县</w:t>
            </w:r>
            <w:r>
              <w:rPr>
                <w:rFonts w:ascii="仿宋_GB2312" w:cs="仿宋_GB2312"/>
                <w:color w:val="000000"/>
                <w:sz w:val="24"/>
                <w:szCs w:val="24"/>
                <w:shd w:val="clear" w:color="auto" w:fill="FFFFFF"/>
              </w:rPr>
              <w:t>2023</w:t>
            </w:r>
            <w:r>
              <w:rPr>
                <w:rFonts w:hint="eastAsia" w:ascii="仿宋_GB2312" w:cs="仿宋_GB2312"/>
                <w:color w:val="000000"/>
                <w:sz w:val="24"/>
                <w:szCs w:val="24"/>
                <w:shd w:val="clear" w:color="auto" w:fill="FFFFFF"/>
              </w:rPr>
              <w:t>年农村饮水安全巩固提升工程、休宁县</w:t>
            </w:r>
            <w:r>
              <w:rPr>
                <w:rFonts w:ascii="仿宋_GB2312" w:cs="仿宋_GB2312"/>
                <w:color w:val="000000"/>
                <w:sz w:val="24"/>
                <w:szCs w:val="24"/>
                <w:shd w:val="clear" w:color="auto" w:fill="FFFFFF"/>
              </w:rPr>
              <w:t>2024</w:t>
            </w:r>
            <w:r>
              <w:rPr>
                <w:rFonts w:hint="eastAsia" w:ascii="仿宋_GB2312" w:cs="仿宋_GB2312"/>
                <w:color w:val="000000"/>
                <w:sz w:val="24"/>
                <w:szCs w:val="24"/>
                <w:shd w:val="clear" w:color="auto" w:fill="FFFFFF"/>
              </w:rPr>
              <w:t>年农村饮水安全巩固提升工程、休宁县</w:t>
            </w:r>
            <w:r>
              <w:rPr>
                <w:rFonts w:ascii="仿宋_GB2312" w:cs="仿宋_GB2312"/>
                <w:color w:val="000000"/>
                <w:sz w:val="24"/>
                <w:szCs w:val="24"/>
                <w:shd w:val="clear" w:color="auto" w:fill="FFFFFF"/>
              </w:rPr>
              <w:t>2025</w:t>
            </w:r>
            <w:r>
              <w:rPr>
                <w:rFonts w:hint="eastAsia" w:ascii="仿宋_GB2312" w:cs="仿宋_GB2312"/>
                <w:color w:val="000000"/>
                <w:sz w:val="24"/>
                <w:szCs w:val="24"/>
                <w:shd w:val="clear" w:color="auto" w:fill="FFFFFF"/>
              </w:rPr>
              <w:t>年农村饮水安全巩固提升工程、</w:t>
            </w:r>
            <w:r>
              <w:rPr>
                <w:rFonts w:hint="eastAsia" w:ascii="仿宋_GB2312" w:cs="仿宋_GB2312"/>
                <w:color w:val="000000"/>
                <w:sz w:val="24"/>
                <w:szCs w:val="24"/>
              </w:rPr>
              <w:t>市水务调度中心、人饮工程提升改造项目、溪口农村安全饮水管网改造。</w:t>
            </w:r>
          </w:p>
        </w:tc>
      </w:tr>
    </w:tbl>
    <w:p>
      <w:pPr>
        <w:pStyle w:val="3"/>
        <w:spacing w:before="156" w:after="156" w:line="560" w:lineRule="exact"/>
        <w:ind w:left="426" w:hanging="426"/>
        <w:rPr>
          <w:rFonts w:cs="Times New Roman"/>
          <w:color w:val="000000"/>
        </w:rPr>
      </w:pPr>
      <w:bookmarkStart w:id="80" w:name="_Toc72935898"/>
      <w:r>
        <w:rPr>
          <w:rFonts w:hint="eastAsia" w:cs="黑体"/>
          <w:color w:val="000000"/>
        </w:rPr>
        <w:t>推动旅游业提质增效</w:t>
      </w:r>
      <w:bookmarkEnd w:id="80"/>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围绕“五核七区、三轴四带”的总体布局，加快旅游集中区建设，积极打造旅游新业态，优化旅游空间布局，推动旅游产业结构优化升级，打响“名山秀水，文化休宁”品牌，打造全域旅游目的地。到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年，力争年游客接待总量达到</w:t>
      </w:r>
      <w:r>
        <w:rPr>
          <w:rFonts w:ascii="仿宋_GB2312" w:eastAsia="仿宋_GB2312" w:cs="仿宋_GB2312"/>
          <w:color w:val="000000"/>
          <w:sz w:val="32"/>
          <w:szCs w:val="32"/>
        </w:rPr>
        <w:t>900</w:t>
      </w:r>
      <w:r>
        <w:rPr>
          <w:rFonts w:hint="eastAsia" w:ascii="仿宋_GB2312" w:eastAsia="仿宋_GB2312" w:cs="仿宋_GB2312"/>
          <w:color w:val="000000"/>
          <w:sz w:val="32"/>
          <w:szCs w:val="32"/>
        </w:rPr>
        <w:t>万人次，实现旅游总收入</w:t>
      </w:r>
      <w:r>
        <w:rPr>
          <w:rFonts w:ascii="仿宋_GB2312" w:eastAsia="仿宋_GB2312" w:cs="仿宋_GB2312"/>
          <w:color w:val="000000"/>
          <w:sz w:val="32"/>
          <w:szCs w:val="32"/>
        </w:rPr>
        <w:t>75</w:t>
      </w:r>
      <w:r>
        <w:rPr>
          <w:rFonts w:hint="eastAsia" w:ascii="仿宋_GB2312" w:eastAsia="仿宋_GB2312" w:cs="仿宋_GB2312"/>
          <w:color w:val="000000"/>
          <w:sz w:val="32"/>
          <w:szCs w:val="32"/>
        </w:rPr>
        <w:t>亿元，休宁县建设成为国省级全域旅游示范区。</w:t>
      </w:r>
    </w:p>
    <w:p>
      <w:pPr>
        <w:pStyle w:val="4"/>
        <w:numPr>
          <w:ilvl w:val="0"/>
          <w:numId w:val="11"/>
        </w:numPr>
        <w:spacing w:before="156" w:after="156" w:line="560" w:lineRule="exact"/>
        <w:ind w:left="426"/>
        <w:rPr>
          <w:rFonts w:cs="Times New Roman"/>
          <w:color w:val="000000"/>
        </w:rPr>
      </w:pPr>
      <w:bookmarkStart w:id="81" w:name="_Toc72935899"/>
      <w:bookmarkStart w:id="82" w:name="_Hlk54683956"/>
      <w:r>
        <w:rPr>
          <w:rFonts w:hint="eastAsia" w:cs="楷体"/>
          <w:color w:val="000000"/>
        </w:rPr>
        <w:t>完善旅游发展布局</w:t>
      </w:r>
      <w:bookmarkEnd w:id="81"/>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顺应“十四五”休宁县旅游发展新形势，围绕建设全域旅游示范区目标，着力整合县域范围内及周边的优势资源和重点项目。以城镇综合体为重心，以优势资源点及项目为依托，以交通干线及重点河流为轴，以特色集聚区为载体，实现全域联动发展，构建休宁县“五核七区、三轴四带、全域发展”的文化旅游发展空间格局。</w:t>
      </w:r>
    </w:p>
    <w:p>
      <w:pPr>
        <w:spacing w:line="560" w:lineRule="exact"/>
        <w:ind w:firstLine="642" w:firstLineChars="200"/>
        <w:rPr>
          <w:rFonts w:ascii="仿宋_GB2312" w:eastAsia="仿宋_GB2312"/>
          <w:color w:val="000000"/>
          <w:sz w:val="32"/>
          <w:szCs w:val="32"/>
        </w:rPr>
      </w:pPr>
      <w:r>
        <w:rPr>
          <w:rFonts w:hint="eastAsia" w:ascii="仿宋_GB2312" w:eastAsia="仿宋_GB2312" w:cs="仿宋_GB2312"/>
          <w:b/>
          <w:bCs/>
          <w:color w:val="000000"/>
          <w:sz w:val="32"/>
          <w:szCs w:val="32"/>
        </w:rPr>
        <w:t>打造五核。</w:t>
      </w:r>
      <w:r>
        <w:rPr>
          <w:rFonts w:hint="eastAsia" w:ascii="仿宋_GB2312" w:eastAsia="仿宋_GB2312" w:cs="仿宋_GB2312"/>
          <w:color w:val="000000"/>
          <w:sz w:val="32"/>
          <w:szCs w:val="32"/>
        </w:rPr>
        <w:t>即“一山、一湖、一城、一镇、一村”五大核心。根据休宁县旅游资源特点和未来发展趋势，围绕山（齐云山）、湖（月潭湖）、城（状元城）、镇（万安镇）、村（福地村）五大核心，整合全县文化、旅游资源，通过重点培育区域旅游新亮点、新势力，加速形成特色旅游发展的强劲动力源和增长点，推动休宁县旅游高质量发展。</w:t>
      </w:r>
      <w:r>
        <w:rPr>
          <w:rFonts w:hint="eastAsia" w:ascii="仿宋_GB2312" w:eastAsia="仿宋_GB2312" w:cs="仿宋_GB2312"/>
          <w:b/>
          <w:bCs/>
          <w:color w:val="000000"/>
          <w:sz w:val="32"/>
          <w:szCs w:val="32"/>
        </w:rPr>
        <w:t>整合七区。</w:t>
      </w:r>
      <w:r>
        <w:rPr>
          <w:rFonts w:hint="eastAsia" w:ascii="仿宋_GB2312" w:eastAsia="仿宋_GB2312" w:cs="仿宋_GB2312"/>
          <w:color w:val="000000"/>
          <w:sz w:val="32"/>
          <w:szCs w:val="32"/>
        </w:rPr>
        <w:t>以打造五核为基础，以优势旅游资源、项目和城镇为核心，整合周边地区的产业发展要素，通过轴线将点状资源和项目集聚成板块，形成休宁县七大特色集聚区，各集聚区利用各自优势条件，实现错位联动发展。具体包括新安源旅游集聚区、月潭湖旅游集聚区、齐云山旅游集聚区、状元城旅游集聚区、环城旅游集聚区、山地运动旅游集聚区、山地康养旅游集聚区。每个集聚区培育特色小镇，形成特色小镇支撑集聚区发展的格局。</w:t>
      </w:r>
    </w:p>
    <w:p>
      <w:pPr>
        <w:spacing w:line="560" w:lineRule="exact"/>
        <w:ind w:firstLine="642" w:firstLineChars="200"/>
        <w:rPr>
          <w:rFonts w:ascii="仿宋_GB2312" w:eastAsia="仿宋_GB2312"/>
          <w:color w:val="000000"/>
          <w:sz w:val="32"/>
          <w:szCs w:val="32"/>
        </w:rPr>
      </w:pPr>
      <w:r>
        <w:rPr>
          <w:rFonts w:hint="eastAsia" w:ascii="仿宋_GB2312" w:eastAsia="仿宋_GB2312" w:cs="仿宋_GB2312"/>
          <w:b/>
          <w:bCs/>
          <w:color w:val="000000"/>
          <w:sz w:val="32"/>
          <w:szCs w:val="32"/>
        </w:rPr>
        <w:t>发展“三轴”。</w:t>
      </w:r>
      <w:r>
        <w:rPr>
          <w:rFonts w:hint="eastAsia" w:ascii="仿宋_GB2312" w:eastAsia="仿宋_GB2312" w:cs="仿宋_GB2312"/>
          <w:color w:val="000000"/>
          <w:sz w:val="32"/>
          <w:szCs w:val="32"/>
        </w:rPr>
        <w:t>以地形为基础，以主要交通干线、河流为轴线，整合沿线资源、重点文旅体项目及重点乡镇，推动成为休宁县文旅体产业联动发展的大动脉。具体包括：整合</w:t>
      </w:r>
      <w:r>
        <w:rPr>
          <w:rFonts w:ascii="仿宋_GB2312" w:eastAsia="仿宋_GB2312" w:cs="仿宋_GB2312"/>
          <w:color w:val="000000"/>
          <w:sz w:val="32"/>
          <w:szCs w:val="32"/>
        </w:rPr>
        <w:t>G205</w:t>
      </w:r>
      <w:r>
        <w:rPr>
          <w:rFonts w:hint="eastAsia" w:ascii="仿宋_GB2312" w:eastAsia="仿宋_GB2312" w:cs="仿宋_GB2312"/>
          <w:color w:val="000000"/>
          <w:sz w:val="32"/>
          <w:szCs w:val="32"/>
        </w:rPr>
        <w:t>（儒村</w:t>
      </w:r>
      <w:r>
        <w:rPr>
          <w:rFonts w:ascii="仿宋_GB2312" w:eastAsia="仿宋_GB2312" w:cs="仿宋_GB2312"/>
          <w:color w:val="000000"/>
          <w:sz w:val="32"/>
          <w:szCs w:val="32"/>
        </w:rPr>
        <w:t>-</w:t>
      </w:r>
      <w:r>
        <w:rPr>
          <w:rFonts w:hint="eastAsia" w:ascii="仿宋_GB2312" w:eastAsia="仿宋_GB2312" w:cs="仿宋_GB2312"/>
          <w:color w:val="000000"/>
          <w:sz w:val="32"/>
          <w:szCs w:val="32"/>
        </w:rPr>
        <w:t>海阳）、</w:t>
      </w:r>
      <w:r>
        <w:rPr>
          <w:rFonts w:ascii="仿宋_GB2312" w:eastAsia="仿宋_GB2312" w:cs="仿宋_GB2312"/>
          <w:color w:val="000000"/>
          <w:sz w:val="32"/>
          <w:szCs w:val="32"/>
        </w:rPr>
        <w:t>X044</w:t>
      </w:r>
      <w:r>
        <w:rPr>
          <w:rFonts w:hint="eastAsia" w:ascii="仿宋_GB2312" w:eastAsia="仿宋_GB2312" w:cs="仿宋_GB2312"/>
          <w:color w:val="000000"/>
          <w:sz w:val="32"/>
          <w:szCs w:val="32"/>
        </w:rPr>
        <w:t>（海阳</w:t>
      </w:r>
      <w:r>
        <w:rPr>
          <w:rFonts w:ascii="仿宋_GB2312" w:eastAsia="仿宋_GB2312" w:cs="仿宋_GB2312"/>
          <w:color w:val="000000"/>
          <w:sz w:val="32"/>
          <w:szCs w:val="32"/>
        </w:rPr>
        <w:t>-</w:t>
      </w:r>
      <w:r>
        <w:rPr>
          <w:rFonts w:hint="eastAsia" w:ascii="仿宋_GB2312" w:eastAsia="仿宋_GB2312" w:cs="仿宋_GB2312"/>
          <w:color w:val="000000"/>
          <w:sz w:val="32"/>
          <w:szCs w:val="32"/>
        </w:rPr>
        <w:t>浮潭）、</w:t>
      </w:r>
      <w:r>
        <w:rPr>
          <w:rFonts w:ascii="仿宋_GB2312" w:eastAsia="仿宋_GB2312" w:cs="仿宋_GB2312"/>
          <w:color w:val="000000"/>
          <w:sz w:val="32"/>
          <w:szCs w:val="32"/>
        </w:rPr>
        <w:t>G237</w:t>
      </w:r>
      <w:r>
        <w:rPr>
          <w:rFonts w:hint="eastAsia" w:ascii="仿宋_GB2312" w:eastAsia="仿宋_GB2312" w:cs="仿宋_GB2312"/>
          <w:color w:val="000000"/>
          <w:sz w:val="32"/>
          <w:szCs w:val="32"/>
        </w:rPr>
        <w:t>（浮潭</w:t>
      </w:r>
      <w:r>
        <w:rPr>
          <w:rFonts w:ascii="仿宋_GB2312" w:eastAsia="仿宋_GB2312" w:cs="仿宋_GB2312"/>
          <w:color w:val="000000"/>
          <w:sz w:val="32"/>
          <w:szCs w:val="32"/>
        </w:rPr>
        <w:t>-</w:t>
      </w:r>
      <w:r>
        <w:rPr>
          <w:rFonts w:hint="eastAsia" w:ascii="仿宋_GB2312" w:eastAsia="仿宋_GB2312" w:cs="仿宋_GB2312"/>
          <w:color w:val="000000"/>
          <w:sz w:val="32"/>
          <w:szCs w:val="32"/>
        </w:rPr>
        <w:t>岭南）公路沿线旅游景区、旅游项目和重点乡镇（蓝田、海阳、商山、五城、山斗、岭南、龙田），形成南北交通干线旅游发展轴；整合横江沿线景区、旅游项目和重点乡镇（齐云山、渭桥、海阳、万安），联动东临溪、榆村，形成横江旅游发展轴；整合率水河沿线景区、旅游项目和重点乡镇（鹤城、流口、汪村、板桥、溪口、月潭湖、商山），联动源芳、白际、璜尖，形成率水旅游发展轴。</w:t>
      </w:r>
      <w:r>
        <w:rPr>
          <w:rFonts w:hint="eastAsia" w:ascii="仿宋_GB2312" w:eastAsia="仿宋_GB2312" w:cs="仿宋_GB2312"/>
          <w:b/>
          <w:bCs/>
          <w:color w:val="000000"/>
          <w:sz w:val="32"/>
          <w:szCs w:val="32"/>
        </w:rPr>
        <w:t>联动四带。</w:t>
      </w:r>
      <w:r>
        <w:rPr>
          <w:rFonts w:hint="eastAsia" w:ascii="仿宋_GB2312" w:eastAsia="仿宋_GB2312" w:cs="仿宋_GB2312"/>
          <w:color w:val="000000"/>
          <w:sz w:val="32"/>
          <w:szCs w:val="32"/>
        </w:rPr>
        <w:t>结合休宁各乡镇区位及交通条件，通过资源优化配置，错位发展，发挥蓝田、鹤城、白际、岭南“四带”外联承接作用，打造大黄山旅游协作增长带、皖赣协作增长带（鹤城）、皖浙协作增长带、皖赣协作增长带（岭南），联动外部资源，承接外来客源。</w:t>
      </w:r>
    </w:p>
    <w:p>
      <w:pPr>
        <w:pStyle w:val="4"/>
        <w:numPr>
          <w:ilvl w:val="0"/>
          <w:numId w:val="11"/>
        </w:numPr>
        <w:spacing w:before="156" w:after="156" w:line="560" w:lineRule="exact"/>
        <w:ind w:left="426"/>
        <w:rPr>
          <w:rFonts w:cs="Times New Roman"/>
          <w:color w:val="000000"/>
        </w:rPr>
      </w:pPr>
      <w:bookmarkStart w:id="83" w:name="_Toc72935900"/>
      <w:r>
        <w:rPr>
          <w:rFonts w:hint="eastAsia" w:cs="楷体"/>
          <w:color w:val="000000"/>
        </w:rPr>
        <w:t>推进旅游多业融合</w:t>
      </w:r>
      <w:bookmarkEnd w:id="83"/>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围绕休闲、运动、文创、研学等多业态，加强旅游综合开发，深入推进“旅游</w:t>
      </w:r>
      <w:r>
        <w:rPr>
          <w:rFonts w:ascii="仿宋_GB2312" w:eastAsia="仿宋_GB2312" w:cs="仿宋_GB2312"/>
          <w:color w:val="000000"/>
          <w:sz w:val="32"/>
          <w:szCs w:val="32"/>
        </w:rPr>
        <w:t>+</w:t>
      </w:r>
      <w:r>
        <w:rPr>
          <w:rFonts w:hint="eastAsia" w:ascii="仿宋_GB2312" w:eastAsia="仿宋_GB2312" w:cs="仿宋_GB2312"/>
          <w:color w:val="000000"/>
          <w:sz w:val="32"/>
          <w:szCs w:val="32"/>
        </w:rPr>
        <w:t>”多业融合项目实施，提升旅游品牌影响力，实现文旅创新发展格局。</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重点培育休闲旅游。</w:t>
      </w:r>
      <w:r>
        <w:rPr>
          <w:rFonts w:hint="eastAsia" w:ascii="仿宋_GB2312" w:eastAsia="仿宋_GB2312" w:cs="仿宋_GB2312"/>
          <w:color w:val="000000"/>
          <w:sz w:val="32"/>
          <w:szCs w:val="32"/>
        </w:rPr>
        <w:t>依托齐云山、月潭湖生态资源优势，串联乡村旅游点，打造休闲度假康养基地，联动板桥山泉流水养鱼示范区、流口有机茶示范区等旅游乡镇，突出“闲山逸水、心安休宁”主题。</w:t>
      </w:r>
    </w:p>
    <w:p>
      <w:pPr>
        <w:spacing w:line="560" w:lineRule="exact"/>
        <w:ind w:firstLine="640"/>
        <w:rPr>
          <w:rFonts w:ascii="仿宋_GB2312" w:eastAsia="仿宋_GB2312"/>
          <w:color w:val="000000"/>
          <w:sz w:val="32"/>
          <w:szCs w:val="32"/>
        </w:rPr>
      </w:pPr>
      <w:r>
        <w:rPr>
          <w:rFonts w:hint="eastAsia" w:ascii="楷体" w:hAnsi="楷体" w:eastAsia="楷体" w:cs="楷体"/>
          <w:b/>
          <w:bCs/>
          <w:color w:val="000000"/>
          <w:sz w:val="32"/>
          <w:szCs w:val="32"/>
        </w:rPr>
        <w:t>积极发展体育旅游。</w:t>
      </w:r>
      <w:r>
        <w:rPr>
          <w:rFonts w:hint="eastAsia" w:ascii="仿宋_GB2312" w:eastAsia="仿宋_GB2312" w:cs="仿宋_GB2312"/>
          <w:color w:val="000000"/>
          <w:sz w:val="32"/>
          <w:szCs w:val="32"/>
        </w:rPr>
        <w:t>发挥皖南（县域）国家体育产业示范基地引领作用，推动建设齐云山体育休闲产业综合项目，推动齐云山打造“三养”主体文化体育休闲产业园，推动齐云山登山赛、</w:t>
      </w:r>
      <w:r>
        <w:rPr>
          <w:rFonts w:ascii="仿宋_GB2312" w:eastAsia="仿宋_GB2312" w:cs="仿宋_GB2312"/>
          <w:color w:val="000000"/>
          <w:sz w:val="32"/>
          <w:szCs w:val="32"/>
        </w:rPr>
        <w:t>NYBO</w:t>
      </w:r>
      <w:r>
        <w:rPr>
          <w:rFonts w:hint="eastAsia" w:ascii="仿宋_GB2312" w:eastAsia="仿宋_GB2312" w:cs="仿宋_GB2312"/>
          <w:color w:val="000000"/>
          <w:sz w:val="32"/>
          <w:szCs w:val="32"/>
        </w:rPr>
        <w:t>篮球赛等精品赛事举办常态化，围绕月潭湖积极申办水上体育旅游赛事，推动“旅游</w:t>
      </w:r>
      <w:r>
        <w:rPr>
          <w:rFonts w:ascii="仿宋_GB2312" w:eastAsia="仿宋_GB2312" w:cs="仿宋_GB2312"/>
          <w:color w:val="000000"/>
          <w:sz w:val="32"/>
          <w:szCs w:val="32"/>
        </w:rPr>
        <w:t>+</w:t>
      </w:r>
      <w:r>
        <w:rPr>
          <w:rFonts w:hint="eastAsia" w:ascii="仿宋_GB2312" w:eastAsia="仿宋_GB2312" w:cs="仿宋_GB2312"/>
          <w:color w:val="000000"/>
          <w:sz w:val="32"/>
          <w:szCs w:val="32"/>
        </w:rPr>
        <w:t>体育”深度融合。</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推动发展森林旅游。</w:t>
      </w:r>
      <w:r>
        <w:rPr>
          <w:rFonts w:hint="eastAsia" w:ascii="仿宋_GB2312" w:eastAsia="仿宋_GB2312" w:cs="仿宋_GB2312"/>
          <w:color w:val="000000"/>
          <w:sz w:val="32"/>
          <w:szCs w:val="32"/>
        </w:rPr>
        <w:t>依托齐云山国家森林公园、横江国家湿地公园（试点）、新安江源头国家生态文明先行示范区等优势资源，打造一批森林旅游精品景区，因地制宜开发漂流、山地自行车、野外露营、森林养生、民宿等森林旅游项目，推动创建全国森林旅游示范县。</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创意开发研学旅游。</w:t>
      </w:r>
      <w:r>
        <w:rPr>
          <w:rFonts w:hint="eastAsia" w:ascii="仿宋_GB2312" w:eastAsia="仿宋_GB2312" w:cs="仿宋_GB2312"/>
          <w:color w:val="000000"/>
          <w:sz w:val="32"/>
          <w:szCs w:val="32"/>
        </w:rPr>
        <w:t>深入挖掘生态、文化、红色等特色资源，发展形成状元博物馆文化研学游、齐云山地质探秘研学游、万安吴鲁衡罗经非遗研学游、石屋坑乡村红色体验研学游、蓝田乡村体验研学游等研学品牌，完善研学设施服务，推动月潭湖畔月谷研学营地建设，借鉴黟县“写生经济”经验，丰富研学旅游内涵，积极创建生态保护教育研学基地。</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培育夜间文旅业态。</w:t>
      </w:r>
      <w:r>
        <w:rPr>
          <w:rFonts w:hint="eastAsia" w:ascii="仿宋_GB2312" w:eastAsia="仿宋_GB2312" w:cs="仿宋_GB2312"/>
          <w:color w:val="000000"/>
          <w:sz w:val="32"/>
          <w:szCs w:val="32"/>
        </w:rPr>
        <w:t>以齐云小镇为中心，突出“康养度假”主题，丰富齐云山太极文化内涵，加强齐云山横江灯光造景，突出自由家森林树屋康养旅居、森林养生特色，增设酒店、餐饮、书屋、茶吧，策划提升太极康养文化街区，探索开发横江夜游、星空索道、天街夜游产品，打造齐云小镇“夜市天街”品牌。</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创新研发文创产品。</w:t>
      </w:r>
      <w:r>
        <w:rPr>
          <w:rFonts w:hint="eastAsia" w:ascii="仿宋_GB2312" w:eastAsia="仿宋_GB2312" w:cs="仿宋_GB2312"/>
          <w:color w:val="000000"/>
          <w:sz w:val="32"/>
          <w:szCs w:val="32"/>
        </w:rPr>
        <w:t>以提高文创产品质量、用好旅游市场渠道为抓手，通过优质文创产品开发提升旅游内涵、促进旅游消费，围绕休宁道家养生文化、罗经文化、状元文化、茶文化等特色文化，创意开发状元系列等非遗文创产品，打造休宁特色的文旅伴手礼，畅通文创产品销售渠道、扩大文创产品影响力，延伸文旅产业链。</w:t>
      </w:r>
    </w:p>
    <w:p>
      <w:pPr>
        <w:pStyle w:val="4"/>
        <w:numPr>
          <w:ilvl w:val="0"/>
          <w:numId w:val="11"/>
        </w:numPr>
        <w:spacing w:before="156" w:after="156" w:line="560" w:lineRule="exact"/>
        <w:ind w:left="426"/>
        <w:rPr>
          <w:rFonts w:cs="Times New Roman"/>
          <w:color w:val="000000"/>
        </w:rPr>
      </w:pPr>
      <w:bookmarkStart w:id="84" w:name="_Toc56416773"/>
      <w:bookmarkStart w:id="85" w:name="_Toc55209056"/>
      <w:bookmarkStart w:id="86" w:name="_Toc55190879"/>
      <w:bookmarkStart w:id="87" w:name="_Toc72935901"/>
      <w:r>
        <w:rPr>
          <w:rFonts w:hint="eastAsia" w:cs="楷体"/>
          <w:color w:val="000000"/>
        </w:rPr>
        <w:t>提升文旅品牌影响力</w:t>
      </w:r>
      <w:bookmarkEnd w:id="84"/>
      <w:bookmarkEnd w:id="85"/>
      <w:bookmarkEnd w:id="86"/>
      <w:bookmarkEnd w:id="8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以文旅产品融合、品牌营销创建为抓手，不断加快休宁文化旅游走出去、请进来的步伐，持续推进全域旅游发展和文旅融合纵深发展，全面打响休宁文旅品牌。</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推动开展旅游品牌营销活动。</w:t>
      </w:r>
      <w:r>
        <w:rPr>
          <w:rFonts w:hint="eastAsia" w:ascii="仿宋_GB2312" w:eastAsia="仿宋_GB2312" w:cs="仿宋_GB2312"/>
          <w:color w:val="000000"/>
          <w:sz w:val="32"/>
          <w:szCs w:val="32"/>
        </w:rPr>
        <w:t>以“融杭接沪”为重点，加强长三角一体化营销合作，持续打造美食文化节、生态漂流节、非遗展演等一批文旅节庆活动。充分发挥新媒体平台作用，创新推广休宁旅游品牌形象。开发一批精品旅游线路和产品，打造长三角生态休闲度假旅游目的地。</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推动创建旅游国字品牌。</w:t>
      </w:r>
      <w:r>
        <w:rPr>
          <w:rFonts w:hint="eastAsia" w:ascii="仿宋_GB2312" w:eastAsia="仿宋_GB2312" w:cs="仿宋_GB2312"/>
          <w:color w:val="000000"/>
          <w:sz w:val="32"/>
          <w:szCs w:val="32"/>
        </w:rPr>
        <w:t>“十四五”期间，推进创建国省级全域旅游示范区。强力推进齐云山国家</w:t>
      </w:r>
      <w:r>
        <w:rPr>
          <w:rFonts w:ascii="仿宋_GB2312" w:eastAsia="仿宋_GB2312" w:cs="仿宋_GB2312"/>
          <w:color w:val="000000"/>
          <w:sz w:val="32"/>
          <w:szCs w:val="32"/>
        </w:rPr>
        <w:t>5A</w:t>
      </w:r>
      <w:r>
        <w:rPr>
          <w:rFonts w:hint="eastAsia" w:ascii="仿宋_GB2312" w:eastAsia="仿宋_GB2312" w:cs="仿宋_GB2312"/>
          <w:color w:val="000000"/>
          <w:sz w:val="32"/>
          <w:szCs w:val="32"/>
        </w:rPr>
        <w:t>景区和徽州大峡谷</w:t>
      </w:r>
      <w:r>
        <w:rPr>
          <w:rFonts w:ascii="仿宋_GB2312" w:eastAsia="仿宋_GB2312" w:cs="仿宋_GB2312"/>
          <w:color w:val="000000"/>
          <w:sz w:val="32"/>
          <w:szCs w:val="32"/>
        </w:rPr>
        <w:t>4A</w:t>
      </w:r>
      <w:r>
        <w:rPr>
          <w:rFonts w:hint="eastAsia" w:ascii="仿宋_GB2312" w:eastAsia="仿宋_GB2312" w:cs="仿宋_GB2312"/>
          <w:color w:val="000000"/>
          <w:sz w:val="32"/>
          <w:szCs w:val="32"/>
        </w:rPr>
        <w:t>景区创建，推动月潭湖旅游区创建国省级旅游度假区，水上三项（浆板、皮划艇、公开水域游泳）赛事运动基地，推动黄山徽国商温德姆花园酒店创建五星级饭店，推动石屋坑创建国家级爱国主义教育基地。</w:t>
      </w:r>
    </w:p>
    <w:p>
      <w:pPr>
        <w:pStyle w:val="4"/>
        <w:numPr>
          <w:ilvl w:val="0"/>
          <w:numId w:val="11"/>
        </w:numPr>
        <w:spacing w:before="156" w:after="156" w:line="560" w:lineRule="exact"/>
        <w:ind w:left="426"/>
        <w:rPr>
          <w:rFonts w:cs="Times New Roman"/>
          <w:color w:val="000000"/>
        </w:rPr>
      </w:pPr>
      <w:bookmarkStart w:id="88" w:name="_Toc72935902"/>
      <w:r>
        <w:rPr>
          <w:rFonts w:hint="eastAsia" w:cs="楷体"/>
          <w:color w:val="000000"/>
        </w:rPr>
        <w:t>提升旅游发展效益</w:t>
      </w:r>
      <w:bookmarkEnd w:id="8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深耕休宁文化旅游资源，推动旅游服务业升级，丰富文化旅游精品，推动旅游发展品质全面提升。</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完善“快进慢游”服务设施。</w:t>
      </w:r>
      <w:r>
        <w:rPr>
          <w:rFonts w:hint="eastAsia" w:ascii="仿宋_GB2312" w:eastAsia="仿宋_GB2312" w:cs="仿宋_GB2312"/>
          <w:color w:val="000000"/>
          <w:sz w:val="32"/>
          <w:szCs w:val="32"/>
        </w:rPr>
        <w:t>紧抓皖南交旅融合发展契机，持续推进旅游风景道建设、高速公路服务区旅游化改造、公路道班改造提升，全面完善“快进慢游”基础设施建设，推动一批旅游设施提升项目实施，将风景道体系打造成全域旅游的龙骨架、公共服务体系的全域网、休闲度假产品业态的分布图。</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构建主客共享的文旅新空间。</w:t>
      </w:r>
      <w:r>
        <w:rPr>
          <w:rFonts w:hint="eastAsia" w:ascii="仿宋_GB2312" w:eastAsia="仿宋_GB2312" w:cs="仿宋_GB2312"/>
          <w:color w:val="000000"/>
          <w:sz w:val="32"/>
          <w:szCs w:val="32"/>
        </w:rPr>
        <w:t>建立覆盖城乡、结构合理、功能健全、实用高效的三级公共文化旅游体育服务网络。建设、改造一批旅游厕所、旅游标识牌，完善县级体育设施“五个一”、乡镇（街道）体育设施“三个一”等文化旅游体育综合服务设施。推动公共文化服务进景区、进乡村。积极推进落实长三角文化旅游一卡通。</w:t>
      </w:r>
    </w:p>
    <w:p>
      <w:pPr>
        <w:spacing w:line="560" w:lineRule="exact"/>
        <w:ind w:firstLine="642" w:firstLineChars="200"/>
        <w:rPr>
          <w:rFonts w:ascii="仿宋_GB2312" w:eastAsia="仿宋_GB2312"/>
          <w:color w:val="000000"/>
          <w:sz w:val="32"/>
          <w:szCs w:val="32"/>
        </w:rPr>
      </w:pPr>
      <w:bookmarkStart w:id="89" w:name="_Toc56416776"/>
      <w:bookmarkStart w:id="90" w:name="_Toc55190882"/>
      <w:bookmarkStart w:id="91" w:name="_Toc55209059"/>
      <w:r>
        <w:rPr>
          <w:rFonts w:hint="eastAsia" w:ascii="楷体" w:hAnsi="楷体" w:eastAsia="楷体" w:cs="楷体"/>
          <w:b/>
          <w:bCs/>
          <w:color w:val="000000"/>
          <w:sz w:val="32"/>
          <w:szCs w:val="32"/>
        </w:rPr>
        <w:t>丰富多元旅游精品</w:t>
      </w:r>
      <w:bookmarkEnd w:id="89"/>
      <w:bookmarkEnd w:id="90"/>
      <w:bookmarkEnd w:id="9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发扬特色饮食文化，以徽文化为基础，开发特色菜品，开发以饮食文化为中心的特色旅游产品。支持发展精品民宿，加快精品民宿项目建设，推动徽州民宿集群建设，做大做强梦乡村祖源、魔宿厢居等一批徽州民宿，推出富有个性化、人性化的体验项目，形成“民宿</w:t>
      </w:r>
      <w:r>
        <w:rPr>
          <w:rFonts w:ascii="仿宋_GB2312" w:eastAsia="仿宋_GB2312" w:cs="仿宋_GB2312"/>
          <w:color w:val="000000"/>
          <w:sz w:val="32"/>
          <w:szCs w:val="32"/>
        </w:rPr>
        <w:t>+</w:t>
      </w:r>
      <w:r>
        <w:rPr>
          <w:rFonts w:hint="eastAsia" w:ascii="仿宋_GB2312" w:eastAsia="仿宋_GB2312" w:cs="仿宋_GB2312"/>
          <w:color w:val="000000"/>
          <w:sz w:val="32"/>
          <w:szCs w:val="32"/>
        </w:rPr>
        <w:t>文化体验”“民宿</w:t>
      </w:r>
      <w:r>
        <w:rPr>
          <w:rFonts w:ascii="仿宋_GB2312" w:eastAsia="仿宋_GB2312" w:cs="仿宋_GB2312"/>
          <w:color w:val="000000"/>
          <w:sz w:val="32"/>
          <w:szCs w:val="32"/>
        </w:rPr>
        <w:t>+</w:t>
      </w:r>
      <w:r>
        <w:rPr>
          <w:rFonts w:hint="eastAsia" w:ascii="仿宋_GB2312" w:eastAsia="仿宋_GB2312" w:cs="仿宋_GB2312"/>
          <w:color w:val="000000"/>
          <w:sz w:val="32"/>
          <w:szCs w:val="32"/>
        </w:rPr>
        <w:t>休闲养生”“民宿</w:t>
      </w:r>
      <w:r>
        <w:rPr>
          <w:rFonts w:ascii="仿宋_GB2312" w:eastAsia="仿宋_GB2312" w:cs="仿宋_GB2312"/>
          <w:color w:val="000000"/>
          <w:sz w:val="32"/>
          <w:szCs w:val="32"/>
        </w:rPr>
        <w:t>+</w:t>
      </w:r>
      <w:r>
        <w:rPr>
          <w:rFonts w:hint="eastAsia" w:ascii="仿宋_GB2312" w:eastAsia="仿宋_GB2312" w:cs="仿宋_GB2312"/>
          <w:color w:val="000000"/>
          <w:sz w:val="32"/>
          <w:szCs w:val="32"/>
        </w:rPr>
        <w:t>特色餐饮”发展特色。完善出行游览体验，进一步完善景区游览设施配套，推动景区标识牌设立规范统一，优化游客出行体验。以霞客古道、“探索丝路上松萝茶神秘之旅”为引领，培育精品旅游线路和旅游目的地，推动主体旅游线路向纵深拓展，将单个旅游项目串点成线，推动形成区域旅游大格局。营造良好文娱环境，加强娱乐项目开发，深入挖掘月潭湖和三江源水资源潜力，积极发展集观光、采摘、垂钓、餐饮、民俗文化、休闲养生、农事体验为一体的乡村旅游项目。</w:t>
      </w:r>
      <w:bookmarkEnd w:id="82"/>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文化旅游提质增效工程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旅游综合开发：</w:t>
            </w:r>
            <w:r>
              <w:rPr>
                <w:rFonts w:hint="eastAsia" w:ascii="仿宋_GB2312" w:cs="仿宋_GB2312"/>
                <w:color w:val="000000"/>
                <w:sz w:val="24"/>
                <w:szCs w:val="24"/>
              </w:rPr>
              <w:t>岭南乡全域旅游开发、万安古镇文化旅游开发项目、德清源黄山生态园文化旅游新兴示范基地项目、黄山岭南九龙旅游开发项目、小梅山“十八间房”旅游综合开发、汪金桥梅结旅游综合开发项目、月潭水库坝区旅游开发项目、</w:t>
            </w:r>
            <w:r>
              <w:rPr>
                <w:rFonts w:hint="eastAsia" w:ascii="宋体" w:hAnsi="宋体" w:eastAsia="宋体" w:cs="宋体"/>
                <w:color w:val="000000"/>
                <w:sz w:val="24"/>
                <w:szCs w:val="24"/>
              </w:rPr>
              <w:t>瑯</w:t>
            </w:r>
            <w:r>
              <w:rPr>
                <w:rFonts w:hint="eastAsia" w:ascii="仿宋_GB2312" w:cs="仿宋_GB2312"/>
                <w:color w:val="000000"/>
                <w:sz w:val="24"/>
                <w:szCs w:val="24"/>
              </w:rPr>
              <w:t>斯庄园二期旅游综合开发项目、金佛山旅游综合开发项目、三溪生态旅游区综合体、流口镇乡村生态旅游综合体项目、北京山旅游开发、枧</w:t>
            </w:r>
            <w:r>
              <w:rPr>
                <w:rFonts w:hint="eastAsia" w:ascii="宋体" w:hAnsi="宋体" w:eastAsia="宋体" w:cs="宋体"/>
                <w:color w:val="000000"/>
                <w:sz w:val="24"/>
                <w:szCs w:val="24"/>
              </w:rPr>
              <w:t>潭</w:t>
            </w:r>
            <w:r>
              <w:rPr>
                <w:rFonts w:hint="eastAsia" w:ascii="仿宋_GB2312" w:hAnsi="仿宋_GB2312" w:cs="仿宋_GB2312"/>
                <w:color w:val="000000"/>
                <w:sz w:val="24"/>
                <w:szCs w:val="24"/>
              </w:rPr>
              <w:t>旅游开发扩建项目</w:t>
            </w:r>
            <w:r>
              <w:rPr>
                <w:rFonts w:hint="eastAsia" w:ascii="仿宋_GB2312" w:cs="仿宋_GB2312"/>
                <w:color w:val="000000"/>
                <w:sz w:val="24"/>
                <w:szCs w:val="24"/>
              </w:rPr>
              <w:t>、抚羽山居二期农旅康养项目、商山镇老项目盘活及综合利用、新安源头乡村旅游产业。</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旅游多业融合：</w:t>
            </w:r>
            <w:r>
              <w:rPr>
                <w:rFonts w:hint="eastAsia" w:ascii="仿宋_GB2312" w:cs="仿宋_GB2312"/>
                <w:color w:val="000000"/>
                <w:sz w:val="24"/>
                <w:szCs w:val="24"/>
              </w:rPr>
              <w:t>美好家园黄山旅居康养小镇项目、石人前旅游度假村项目、黄山牧马人营地旅游休闲中心项目、黄山梦谷文旅小镇（一期）项目、徽语茶养小镇（一期）项目、南山东篱、月潭湖镇山水艺术硅谷、小阜飞泉谷旅游休闲拓展运动项目、畔月谷项目、山地车骑行基地、齐云山登山徒步基地、自由家户外运动中心、田居艺术公社二期项目、归根堂文化创意园、黄山穿梭侠航空运动旅游休闲中心、黄山玻璃艺术主题文创园项目、流口生态户外运动设施建设项目、梓源休闲康养度假基地项目、梓源新娘房旅游项目、汪村镇红色小镇建设、龙头红军村建设项目、新安江（溪口</w:t>
            </w:r>
            <w:r>
              <w:rPr>
                <w:rFonts w:ascii="仿宋_GB2312" w:cs="仿宋_GB2312"/>
                <w:color w:val="000000"/>
                <w:sz w:val="24"/>
                <w:szCs w:val="24"/>
              </w:rPr>
              <w:t>-</w:t>
            </w:r>
            <w:r>
              <w:rPr>
                <w:rFonts w:hint="eastAsia" w:ascii="仿宋_GB2312" w:cs="仿宋_GB2312"/>
                <w:color w:val="000000"/>
                <w:sz w:val="24"/>
                <w:szCs w:val="24"/>
              </w:rPr>
              <w:t>晒袍滩）风情线文旅驿站、晒袍滩</w:t>
            </w:r>
            <w:r>
              <w:rPr>
                <w:rFonts w:ascii="仿宋_GB2312"/>
                <w:color w:val="000000"/>
                <w:sz w:val="24"/>
                <w:szCs w:val="24"/>
              </w:rPr>
              <w:t>——</w:t>
            </w:r>
            <w:r>
              <w:rPr>
                <w:rFonts w:hint="eastAsia" w:ascii="仿宋_GB2312" w:cs="仿宋_GB2312"/>
                <w:color w:val="000000"/>
                <w:sz w:val="24"/>
                <w:szCs w:val="24"/>
              </w:rPr>
              <w:t>小坑艺术文创园、渭桥红豆杉、猕猴桃农旅项目、月潭湖研学基地、渭桥水果采摘观光园项目、小</w:t>
            </w:r>
            <w:r>
              <w:rPr>
                <w:rFonts w:hint="eastAsia" w:ascii="宋体" w:hAnsi="宋体" w:eastAsia="宋体" w:cs="宋体"/>
                <w:color w:val="000000"/>
                <w:sz w:val="24"/>
                <w:szCs w:val="24"/>
              </w:rPr>
              <w:t>珰</w:t>
            </w:r>
            <w:r>
              <w:rPr>
                <w:rFonts w:hint="eastAsia" w:ascii="仿宋_GB2312" w:hAnsi="仿宋_GB2312" w:cs="仿宋_GB2312"/>
                <w:color w:val="000000"/>
                <w:sz w:val="24"/>
                <w:szCs w:val="24"/>
              </w:rPr>
              <w:t>村知青农庄打造</w:t>
            </w:r>
            <w:r>
              <w:rPr>
                <w:rFonts w:hint="eastAsia" w:ascii="仿宋_GB2312" w:cs="仿宋_GB2312"/>
                <w:color w:val="000000"/>
                <w:sz w:val="24"/>
                <w:szCs w:val="24"/>
              </w:rPr>
              <w:t>、黄山馨园创意产业园项目、五城特色街区、雾里人家·白水口旅游开发·三期、月潭湖镇特色体育小镇打造、月潭湖康养基地建设、梓溪革命老区户外拓展营地建设项目、板桥乡旅游伴手礼开发项目、板桥乡赏花品鱼基地建设、板桥乡鱼博馆建设、板桥乡泉水鱼产、学、研基地。</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旅游品牌创建：</w:t>
            </w:r>
            <w:r>
              <w:rPr>
                <w:rFonts w:hint="eastAsia" w:ascii="仿宋_GB2312" w:cs="仿宋_GB2312"/>
                <w:color w:val="000000"/>
                <w:sz w:val="24"/>
                <w:szCs w:val="24"/>
              </w:rPr>
              <w:t>黄山徽国商温德姆花园酒店、工业乡愁文化园、徽州大峡谷</w:t>
            </w:r>
            <w:r>
              <w:rPr>
                <w:rFonts w:ascii="仿宋_GB2312" w:cs="仿宋_GB2312"/>
                <w:color w:val="000000"/>
                <w:sz w:val="24"/>
                <w:szCs w:val="24"/>
              </w:rPr>
              <w:t>4A</w:t>
            </w:r>
            <w:r>
              <w:rPr>
                <w:rFonts w:hint="eastAsia" w:ascii="仿宋_GB2312" w:cs="仿宋_GB2312"/>
                <w:color w:val="000000"/>
                <w:sz w:val="24"/>
                <w:szCs w:val="24"/>
              </w:rPr>
              <w:t>景区建设。</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精品民宿酒店：</w:t>
            </w:r>
            <w:r>
              <w:rPr>
                <w:rFonts w:hint="eastAsia" w:ascii="仿宋_GB2312" w:cs="仿宋_GB2312"/>
                <w:color w:val="000000"/>
                <w:sz w:val="24"/>
                <w:szCs w:val="24"/>
              </w:rPr>
              <w:t>田居精品酒店、黄山文启置业发展有限公司总部及文启酒店、隐匠文化主题民宿项目、蓝田镇小溪高端民宿项目、月潭湖大酒店、鹤城乡民宿产业、溪口镇民宿集聚区、流口檀悦度假酒店项目、齐云山旅游民宿项目、幸川村上坞关民宿、古村民宿旅游开发、蓝田镇豸坑民宿群、云溪静山别院二期、魔宿厢居野奢民宿二期、前川民宿集群、渭桥民宿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旅游设施提升：</w:t>
            </w:r>
            <w:r>
              <w:rPr>
                <w:rFonts w:hint="eastAsia" w:ascii="仿宋_GB2312" w:cs="仿宋_GB2312"/>
                <w:color w:val="000000"/>
                <w:sz w:val="24"/>
                <w:szCs w:val="24"/>
              </w:rPr>
              <w:t>月潭湖综合旅游基础设施一期项目、黄山市休宁县齐云山风景名胜区旅游基础设施提升工程、齐云山生态停车场、全民健身中心、齐云山旅游运动公厕、宋家洲运动休闲主题公园和创智乐活街区改造工程、商山镇产业及文化旅游开发</w:t>
            </w:r>
            <w:r>
              <w:rPr>
                <w:rFonts w:hint="eastAsia" w:ascii="仿宋_GB2312" w:cs="仿宋_GB2312"/>
                <w:color w:val="000000"/>
                <w:spacing w:val="-36"/>
                <w:sz w:val="24"/>
                <w:szCs w:val="24"/>
              </w:rPr>
              <w:t>、</w:t>
            </w:r>
            <w:r>
              <w:rPr>
                <w:rFonts w:hint="eastAsia" w:ascii="仿宋_GB2312" w:cs="仿宋_GB2312"/>
                <w:color w:val="000000"/>
                <w:sz w:val="24"/>
                <w:szCs w:val="24"/>
              </w:rPr>
              <w:t>金龙山旅游接待中心项目</w:t>
            </w:r>
            <w:r>
              <w:rPr>
                <w:rFonts w:hint="eastAsia" w:ascii="仿宋_GB2312" w:cs="仿宋_GB2312"/>
                <w:color w:val="000000"/>
                <w:spacing w:val="-34"/>
                <w:sz w:val="24"/>
                <w:szCs w:val="24"/>
              </w:rPr>
              <w:t>、</w:t>
            </w:r>
            <w:r>
              <w:rPr>
                <w:rFonts w:hint="eastAsia" w:ascii="仿宋_GB2312" w:cs="仿宋_GB2312"/>
                <w:color w:val="000000"/>
                <w:sz w:val="24"/>
                <w:szCs w:val="24"/>
              </w:rPr>
              <w:t>蓝城云栖桃源、板桥乡旅游基础设施提升项目、板桥乡登山步道建设项目。</w:t>
            </w:r>
          </w:p>
        </w:tc>
      </w:tr>
    </w:tbl>
    <w:p>
      <w:pPr>
        <w:pStyle w:val="3"/>
        <w:numPr>
          <w:ilvl w:val="0"/>
          <w:numId w:val="6"/>
        </w:numPr>
        <w:spacing w:before="156" w:after="156" w:line="560" w:lineRule="exact"/>
        <w:ind w:left="426" w:hanging="426"/>
        <w:rPr>
          <w:rFonts w:cs="Times New Roman"/>
          <w:color w:val="000000"/>
        </w:rPr>
      </w:pPr>
      <w:bookmarkStart w:id="92" w:name="_Toc72935903"/>
      <w:r>
        <w:rPr>
          <w:rFonts w:hint="eastAsia" w:cs="黑体"/>
          <w:color w:val="000000"/>
        </w:rPr>
        <w:t>全面推进乡村振兴</w:t>
      </w:r>
      <w:bookmarkEnd w:id="92"/>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以深入推进农业现代化为抓手，巩固脱贫攻坚成果，加快乡村全面振兴，全面提升特色农业发展水平，构建现代农业经营体系。</w:t>
      </w:r>
    </w:p>
    <w:p>
      <w:pPr>
        <w:pStyle w:val="4"/>
        <w:numPr>
          <w:ilvl w:val="0"/>
          <w:numId w:val="12"/>
        </w:numPr>
        <w:spacing w:before="156" w:after="156" w:line="560" w:lineRule="exact"/>
        <w:ind w:left="426"/>
        <w:rPr>
          <w:rFonts w:cs="Times New Roman"/>
          <w:color w:val="000000"/>
        </w:rPr>
      </w:pPr>
      <w:bookmarkStart w:id="93" w:name="_Toc72935904"/>
      <w:r>
        <w:rPr>
          <w:rFonts w:hint="eastAsia" w:cs="楷体"/>
          <w:color w:val="000000"/>
        </w:rPr>
        <w:t>提升特色农业发展水平</w:t>
      </w:r>
      <w:bookmarkEnd w:id="93"/>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坚持把推进农业供给侧结构性改革作为主线，推进农业特色化发展道路，发展壮大现代精品农业，打造长三角绿色生态农产品生产加工供应基地。“十四五”期间，推动农业总产值年均增长</w:t>
      </w:r>
      <w:r>
        <w:rPr>
          <w:rFonts w:ascii="仿宋_GB2312" w:eastAsia="仿宋_GB2312" w:cs="仿宋_GB2312"/>
          <w:color w:val="000000"/>
          <w:sz w:val="32"/>
          <w:szCs w:val="32"/>
        </w:rPr>
        <w:t>4%</w:t>
      </w:r>
      <w:r>
        <w:rPr>
          <w:rFonts w:hint="eastAsia" w:ascii="仿宋_GB2312" w:eastAsia="仿宋_GB2312" w:cs="仿宋_GB2312"/>
          <w:color w:val="000000"/>
          <w:sz w:val="32"/>
          <w:szCs w:val="32"/>
        </w:rPr>
        <w:t>左右。</w:t>
      </w:r>
    </w:p>
    <w:p>
      <w:pPr>
        <w:spacing w:line="560" w:lineRule="exact"/>
        <w:ind w:firstLine="642" w:firstLineChars="200"/>
        <w:rPr>
          <w:rFonts w:ascii="仿宋_GB2312" w:eastAsia="仿宋_GB2312"/>
          <w:color w:val="000000"/>
          <w:sz w:val="32"/>
          <w:szCs w:val="32"/>
        </w:rPr>
      </w:pPr>
      <w:bookmarkStart w:id="94" w:name="_Toc55209063"/>
      <w:bookmarkStart w:id="95" w:name="_Toc56416779"/>
      <w:bookmarkStart w:id="96" w:name="_Toc55190886"/>
      <w:bookmarkStart w:id="97" w:name="_Toc55209067"/>
      <w:bookmarkStart w:id="98" w:name="_Toc55190890"/>
      <w:r>
        <w:rPr>
          <w:rFonts w:hint="eastAsia" w:ascii="楷体" w:hAnsi="楷体" w:eastAsia="楷体" w:cs="楷体"/>
          <w:b/>
          <w:bCs/>
          <w:color w:val="000000"/>
          <w:sz w:val="32"/>
          <w:szCs w:val="32"/>
        </w:rPr>
        <w:t>增强粮食安全生产能力</w:t>
      </w:r>
      <w:bookmarkEnd w:id="94"/>
      <w:bookmarkEnd w:id="95"/>
      <w:bookmarkEnd w:id="96"/>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进“优质粮食工程”，推动粮食安全保障重大项目实施，实现优粮优产、优粮优购、优粮优储、优粮优加、优粮优销“五优联动”。严守耕地红线和基本农田控制线，实施耕地质量保护和提升行动，加强耕地质量检测评价。加强高标准农田建设。加快推进农田水利建设。围绕藏粮于地、藏粮于技战略，加大稻谷生产扶持力度。推动农作物生产全程机械化。发展多种形式适度规模经营。加强粮食种植病虫害监测防控，实现虫口夺粮保丰收。推进“智慧皖粮”建设，推动粮食系统信息化管理。推动“放心粮油”“主食厨房”两项工程建设，完善网点布局。</w:t>
      </w:r>
      <w:bookmarkStart w:id="99" w:name="_Toc56416781"/>
    </w:p>
    <w:p>
      <w:pPr>
        <w:spacing w:line="560" w:lineRule="exact"/>
        <w:ind w:firstLine="642" w:firstLineChars="200"/>
        <w:rPr>
          <w:rFonts w:ascii="仿宋_GB2312" w:eastAsia="仿宋_GB2312"/>
          <w:color w:val="000000"/>
          <w:sz w:val="32"/>
          <w:szCs w:val="32"/>
        </w:rPr>
      </w:pPr>
      <w:bookmarkStart w:id="100" w:name="_Hlk55919364"/>
      <w:r>
        <w:rPr>
          <w:rFonts w:hint="eastAsia" w:ascii="楷体" w:hAnsi="楷体" w:eastAsia="楷体" w:cs="楷体"/>
          <w:b/>
          <w:bCs/>
          <w:color w:val="000000"/>
          <w:sz w:val="32"/>
          <w:szCs w:val="32"/>
        </w:rPr>
        <w:t>大力发展精致农业。</w:t>
      </w:r>
      <w:r>
        <w:rPr>
          <w:rFonts w:hint="eastAsia" w:ascii="仿宋_GB2312" w:eastAsia="仿宋_GB2312" w:cs="仿宋_GB2312"/>
          <w:color w:val="000000"/>
          <w:sz w:val="32"/>
          <w:szCs w:val="32"/>
        </w:rPr>
        <w:t>推进农村产业区域化发展，加快实施特色农业项目，持续开展“一村一品”示范村镇创建，做优做强“两茶一花一鱼”特色产业，合理布局茶叶、菊花、泉水鱼等特色农产品核心区，着力推进农业“五化”（特色化、绿色化、产业化、品牌化、融合化）发展。做强茶产业，建设流口有机茶核心示范区，着力推进全域茶园绿色防控，打造好休宁松萝、新安源有机茶品牌，推动实施茶产业提升行动。支持佳龙等企业做大做强，打造五城茶干小镇，实现茶干产业集聚发展。突出蓝田、海阳、齐云山等乡镇，辐射带动渭桥、源芳、溪口等乡镇，推进菊花质量提升行动，加快菊花产业龙头企业培育，提升菊花深加工水平，延伸菊花产业链，打造一批标准化菊园示范基地、菊花标准化示范村镇，推进菊旅融合发展。大力推进山泉流水养鱼系统保护与利用，着重推进山泉流水养鱼标准化示范区、“休宁泉水鱼”区域公共品牌提升、渔旅融合发展项目建设，推进山泉流水养鱼系统与科技结合，加强金融服务，推动板桥、汪村、龙田等核心示范区建设，推进山泉流水养鱼在业态和规模两方面快速拓展。积极推动休宁山泉流水养鱼系统申报全球重要农业文化遗产。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年，“两茶一花一鱼”特色产业综合产值达到</w:t>
      </w:r>
      <w:r>
        <w:rPr>
          <w:rFonts w:ascii="仿宋_GB2312" w:eastAsia="仿宋_GB2312" w:cs="仿宋_GB2312"/>
          <w:color w:val="000000"/>
          <w:sz w:val="32"/>
          <w:szCs w:val="32"/>
        </w:rPr>
        <w:t>55</w:t>
      </w:r>
      <w:r>
        <w:rPr>
          <w:rFonts w:hint="eastAsia" w:ascii="仿宋_GB2312" w:eastAsia="仿宋_GB2312" w:cs="仿宋_GB2312"/>
          <w:color w:val="000000"/>
          <w:sz w:val="32"/>
          <w:szCs w:val="32"/>
        </w:rPr>
        <w:t>亿元。</w:t>
      </w:r>
      <w:bookmarkEnd w:id="97"/>
      <w:bookmarkEnd w:id="98"/>
      <w:bookmarkEnd w:id="99"/>
      <w:bookmarkEnd w:id="100"/>
    </w:p>
    <w:p>
      <w:pPr>
        <w:spacing w:line="560" w:lineRule="exact"/>
        <w:ind w:firstLine="642" w:firstLineChars="200"/>
        <w:rPr>
          <w:rFonts w:ascii="仿宋_GB2312" w:eastAsia="仿宋_GB2312"/>
          <w:color w:val="000000"/>
          <w:sz w:val="32"/>
          <w:szCs w:val="32"/>
        </w:rPr>
      </w:pPr>
      <w:bookmarkStart w:id="101" w:name="_Toc56416783"/>
      <w:bookmarkStart w:id="102" w:name="_Toc55190891"/>
      <w:bookmarkStart w:id="103" w:name="_Toc55209068"/>
      <w:r>
        <w:rPr>
          <w:rFonts w:hint="eastAsia" w:ascii="楷体" w:hAnsi="楷体" w:eastAsia="楷体" w:cs="楷体"/>
          <w:b/>
          <w:bCs/>
          <w:color w:val="000000"/>
          <w:sz w:val="32"/>
          <w:szCs w:val="32"/>
        </w:rPr>
        <w:t>推进特色农产品示范基地</w:t>
      </w:r>
      <w:bookmarkEnd w:id="101"/>
      <w:bookmarkEnd w:id="102"/>
      <w:bookmarkEnd w:id="103"/>
      <w:r>
        <w:rPr>
          <w:rFonts w:hint="eastAsia" w:ascii="楷体" w:hAnsi="楷体" w:eastAsia="楷体" w:cs="楷体"/>
          <w:b/>
          <w:bCs/>
          <w:color w:val="000000"/>
          <w:sz w:val="32"/>
          <w:szCs w:val="32"/>
        </w:rPr>
        <w:t>建设。</w:t>
      </w:r>
      <w:r>
        <w:rPr>
          <w:rFonts w:hint="eastAsia" w:ascii="仿宋_GB2312" w:eastAsia="仿宋_GB2312" w:cs="仿宋_GB2312"/>
          <w:color w:val="000000"/>
          <w:sz w:val="32"/>
          <w:szCs w:val="32"/>
        </w:rPr>
        <w:t>以流口片区等产业集聚区域为重点，建设一批现代农业示范园区。推进海阳、五城、商山等农产品加工集聚区建设，创建国家级现代农业示范区。围绕茶叶、菊花、特色水果、泉水鱼等特色农产品，扶持齐云花果山、山泉流水养鱼基地等一批特色产业基地建设，创建一批国家级、省级专业示范村，打造一批有特色、有品位的农业精品区。推动农产品与农业文化开发相结合，以眉茶、茶干等为抓手，加大对传统特色农产品的开发，在丰富旅游产品市场的同时，扩大农产品的知名度。</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强化农产品品牌与质量安全。</w:t>
      </w:r>
      <w:r>
        <w:rPr>
          <w:rFonts w:hint="eastAsia" w:ascii="仿宋_GB2312" w:eastAsia="仿宋_GB2312" w:cs="仿宋_GB2312"/>
          <w:color w:val="000000"/>
          <w:sz w:val="32"/>
          <w:szCs w:val="32"/>
        </w:rPr>
        <w:t>推进产业绿色发展，推进国家农业绿色发展先行区建设，开展绿色品牌推介，引导支持镇、村、企业与农户等共创品牌，着力提升农产品品牌的影响力。着力推动茶产业提升行动，协同推进安徽徽茶产业集群建设，整体推动茶产业链供应链提升。积极推进与长三角地区质量安全互认、产品销售互通，构建一体化农产品质量安全管理新格局。加强农产品质量安全追溯体系建设，实现“三品一标”农产品和规模生产经营主体的农产品追溯，试行农产品合格证制度，积极推广“合格证</w:t>
      </w:r>
      <w:r>
        <w:rPr>
          <w:rFonts w:ascii="仿宋_GB2312" w:eastAsia="仿宋_GB2312" w:cs="仿宋_GB2312"/>
          <w:color w:val="000000"/>
          <w:sz w:val="32"/>
          <w:szCs w:val="32"/>
        </w:rPr>
        <w:t>+</w:t>
      </w:r>
      <w:r>
        <w:rPr>
          <w:rFonts w:hint="eastAsia" w:ascii="仿宋_GB2312" w:eastAsia="仿宋_GB2312" w:cs="仿宋_GB2312"/>
          <w:color w:val="000000"/>
          <w:sz w:val="32"/>
          <w:szCs w:val="32"/>
        </w:rPr>
        <w:t>追溯码”模式。</w:t>
      </w:r>
      <w:bookmarkStart w:id="104" w:name="_Toc56416780"/>
      <w:bookmarkStart w:id="105" w:name="_Toc55209064"/>
      <w:bookmarkStart w:id="106" w:name="_Toc55190887"/>
    </w:p>
    <w:p>
      <w:pPr>
        <w:pStyle w:val="4"/>
        <w:numPr>
          <w:ilvl w:val="0"/>
          <w:numId w:val="12"/>
        </w:numPr>
        <w:spacing w:before="156" w:after="156" w:line="560" w:lineRule="exact"/>
        <w:ind w:left="426"/>
        <w:rPr>
          <w:rFonts w:cs="Times New Roman"/>
          <w:color w:val="000000"/>
        </w:rPr>
      </w:pPr>
      <w:bookmarkStart w:id="107" w:name="_Toc72935905"/>
      <w:r>
        <w:rPr>
          <w:rFonts w:hint="eastAsia" w:cs="楷体"/>
          <w:color w:val="000000"/>
        </w:rPr>
        <w:t>推进农村产业融合</w:t>
      </w:r>
      <w:bookmarkEnd w:id="104"/>
      <w:bookmarkEnd w:id="105"/>
      <w:bookmarkEnd w:id="106"/>
      <w:r>
        <w:rPr>
          <w:rFonts w:hint="eastAsia" w:cs="楷体"/>
          <w:color w:val="000000"/>
        </w:rPr>
        <w:t>发展</w:t>
      </w:r>
      <w:bookmarkEnd w:id="10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大市级以上龙头企业培育，推进农业产业化联合体培育，结合省级现代农业产业园建设，推动茶叶、茶干、菊花加工企业规模扩张、业态融合发展，推动农业产业化一批重大项目建设。推进休闲农业发展，打造培育一批休闲农业示范产品、示范主体、示范基地，发展田园综合体，推进景观茶园、油菜景观带建设，鼓励企业兴办休闲农业项目，打造提升一批精致农业特色村和精致休闲农庄，创建省级休闲农业和乡村旅游示范点、中国美丽休闲乡村。培育乡村新型服务业，推动绿色高效示范基地建设，培育产业链领军企业，推进农业生产性服务业发展，打造新型农业经营主体，促进农业生产、加工、物流、研发和服务相互融合，构建农村一二三产业融合发展体系。</w:t>
      </w:r>
    </w:p>
    <w:p>
      <w:pPr>
        <w:pStyle w:val="4"/>
        <w:numPr>
          <w:ilvl w:val="0"/>
          <w:numId w:val="12"/>
        </w:numPr>
        <w:spacing w:before="156" w:after="156" w:line="560" w:lineRule="exact"/>
        <w:ind w:left="426"/>
        <w:rPr>
          <w:rFonts w:ascii="楷体" w:cs="Times New Roman"/>
        </w:rPr>
      </w:pPr>
      <w:bookmarkStart w:id="108" w:name="_Toc72935906"/>
      <w:r>
        <w:rPr>
          <w:rFonts w:hint="eastAsia" w:ascii="楷体" w:hAnsi="楷体" w:cs="楷体"/>
        </w:rPr>
        <w:t>促进农业与科技融合</w:t>
      </w:r>
      <w:bookmarkEnd w:id="10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全面推进农业科技现代化，加强农业与科技融合，加强农业科技创新，不断释放创新活力，为农业现代化提供新动能。</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增强农业技术与装备支撑。</w:t>
      </w:r>
      <w:r>
        <w:rPr>
          <w:rFonts w:hint="eastAsia" w:ascii="仿宋_GB2312" w:eastAsia="仿宋_GB2312" w:cs="仿宋_GB2312"/>
          <w:color w:val="000000"/>
          <w:sz w:val="32"/>
          <w:szCs w:val="32"/>
        </w:rPr>
        <w:t>围绕茶产业、茶干产业、菊花产业、泉水鱼产业等重点产业发展需求，深化与高校合作，推动关键共性技术的协同攻关，支持新型农业经营主体开展多种形式技术合作，开展企业研发中心和农业示范推广基地建设，围绕良种引进推广、地方良种培育、基地标准化生产、农产品精深加工等环节，加快技术研发、引进、集成、示范和推广，增强科技支撑能力。健全现代农业技术装备体系，落实农机购置补贴政策，持续深化粮食生产全程机械化示范工作，推动茶叶全程机械化示范建设、山区特色农产品机械化示范建设。</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加快农业农村数字化转型。</w:t>
      </w:r>
      <w:r>
        <w:rPr>
          <w:rFonts w:hint="eastAsia" w:ascii="仿宋_GB2312" w:eastAsia="仿宋_GB2312" w:cs="仿宋_GB2312"/>
          <w:color w:val="000000"/>
          <w:sz w:val="32"/>
          <w:szCs w:val="32"/>
        </w:rPr>
        <w:t>推动农业智慧化生产，推动构建现代化农业产业体系。发展乡村信息产业，推进农产品电子商务和物流配送向村级延伸，实施“互联网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”农产品出村进城工程，探索建立产供销一体化农产品电子商务发展模式。加大特色农产品产业品牌建设力度，推动建设特色农产品大数据应用与运营平台、互联网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现代农业双创产业园、农业电商（跨境）产业园等中心平台。推动物联网、大数据与传统农业融合应用，加快建设智慧农场。</w:t>
      </w:r>
    </w:p>
    <w:p>
      <w:pPr>
        <w:pStyle w:val="4"/>
        <w:numPr>
          <w:ilvl w:val="0"/>
          <w:numId w:val="12"/>
        </w:numPr>
        <w:spacing w:before="156" w:after="156" w:line="560" w:lineRule="exact"/>
        <w:ind w:left="426"/>
        <w:rPr>
          <w:rFonts w:cs="Times New Roman"/>
          <w:color w:val="000000"/>
        </w:rPr>
      </w:pPr>
      <w:bookmarkStart w:id="109" w:name="_Toc72935907"/>
      <w:r>
        <w:rPr>
          <w:rFonts w:hint="eastAsia" w:cs="楷体"/>
          <w:color w:val="000000"/>
        </w:rPr>
        <w:t>实施乡村建设行动</w:t>
      </w:r>
      <w:bookmarkEnd w:id="109"/>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推动重点任务落实，加快补齐农村发展短板，夯实发展基础，推动农业农村现代化产业化，深入推进美丽乡村品质提升工程，实现巩固拓展脱贫攻坚成果同乡村全面振兴有效衔接。</w:t>
      </w:r>
    </w:p>
    <w:p>
      <w:pPr>
        <w:spacing w:line="560" w:lineRule="exact"/>
        <w:ind w:firstLine="642" w:firstLineChars="200"/>
        <w:rPr>
          <w:rFonts w:ascii="仿宋_GB2312" w:eastAsia="仿宋_GB2312"/>
          <w:color w:val="000000"/>
          <w:sz w:val="32"/>
          <w:szCs w:val="32"/>
        </w:rPr>
      </w:pPr>
      <w:bookmarkStart w:id="110" w:name="_Toc56416789"/>
      <w:bookmarkStart w:id="111" w:name="_Toc55209081"/>
      <w:bookmarkStart w:id="112" w:name="_Toc55190917"/>
      <w:r>
        <w:rPr>
          <w:rFonts w:hint="eastAsia" w:ascii="楷体" w:hAnsi="楷体" w:eastAsia="楷体" w:cs="楷体"/>
          <w:b/>
          <w:bCs/>
          <w:color w:val="000000"/>
          <w:sz w:val="32"/>
          <w:szCs w:val="32"/>
        </w:rPr>
        <w:t>巩固脱贫攻坚成效</w:t>
      </w:r>
      <w:bookmarkEnd w:id="110"/>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健全防止返贫长效机制。建立持续稳定的扶贫政策体系，强化政策延续性，对已脱贫人口、出列村继续强化扶持，继续延续医疗保险、兜底保障、公益性岗位、教育资助等扶持，确保脱贫不脱责任、不脱帮扶、不脱政策、不脱监管。发展农村特色产业，鼓励出列村发展特色种养殖，注重对山区农民的带动帮扶，吸纳农民就业，带动脱贫人口持续增收，确保脱贫、防止返贫。继续推动驻村帮扶，加大扶志扶智力度，通过扶贫讲堂加强思想、文化、道德教育，培育文明乡风，有序推进脱贫攻坚与乡村振兴有效衔接，加快建设一批乡村振兴重点项目。</w:t>
      </w:r>
    </w:p>
    <w:p>
      <w:pPr>
        <w:spacing w:line="560" w:lineRule="exact"/>
        <w:ind w:firstLine="642" w:firstLineChars="200"/>
        <w:rPr>
          <w:rFonts w:ascii="仿宋_GB2312" w:eastAsia="仿宋_GB2312"/>
          <w:color w:val="000000"/>
          <w:sz w:val="32"/>
          <w:szCs w:val="32"/>
        </w:rPr>
      </w:pPr>
      <w:bookmarkStart w:id="113" w:name="_Toc56416790"/>
      <w:r>
        <w:rPr>
          <w:rFonts w:hint="eastAsia" w:ascii="楷体" w:hAnsi="楷体" w:eastAsia="楷体" w:cs="楷体"/>
          <w:b/>
          <w:bCs/>
          <w:color w:val="000000"/>
          <w:sz w:val="32"/>
          <w:szCs w:val="32"/>
        </w:rPr>
        <w:t>强化乡村</w:t>
      </w:r>
      <w:bookmarkEnd w:id="111"/>
      <w:bookmarkEnd w:id="112"/>
      <w:bookmarkEnd w:id="113"/>
      <w:r>
        <w:rPr>
          <w:rFonts w:hint="eastAsia" w:ascii="楷体" w:hAnsi="楷体" w:eastAsia="楷体" w:cs="楷体"/>
          <w:b/>
          <w:bCs/>
          <w:color w:val="000000"/>
          <w:sz w:val="32"/>
          <w:szCs w:val="32"/>
        </w:rPr>
        <w:t>建设规划引领。</w:t>
      </w:r>
      <w:r>
        <w:rPr>
          <w:rFonts w:hint="eastAsia" w:ascii="仿宋_GB2312" w:eastAsia="仿宋_GB2312" w:cs="仿宋_GB2312"/>
          <w:color w:val="000000"/>
          <w:sz w:val="32"/>
          <w:szCs w:val="32"/>
        </w:rPr>
        <w:t>加快促进村庄高质量建设，加强基础设施建设和公共服务配套建设任务，重点开展房前屋后环境整治、道路畅通、河沟渠塘疏浚清淤、公共服务设施建设、村庄绿化、村庄亮化等行动。推动一批美丽乡村项目实施，分层分类推进省、市、县级中心村建设，推动布点中心村全部建成美丽乡村，推动中国传统村落、全国和省美丽宜居小镇（村庄）、省传统村落、省特色景观旅游名镇名村等村镇品牌争创工作，开展村庄规划编制，优化村庄布局，规范乡村建设管理。推进新时代文明实践中心站（所）建设，强化乡贤示范和村民主体作用，传承良好家风，倡导文明新风，强化村规民约作用，深化乡风文明建设，进一步扩大休宁县村镇的知名度、美誉度、影响力，推行殡葬制度改革，鼓励推行火葬，力争休宁县美丽乡村建设走在全省前列。</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推动乡村人居环境整治。</w:t>
      </w:r>
      <w:r>
        <w:rPr>
          <w:rFonts w:hint="eastAsia" w:ascii="仿宋_GB2312" w:eastAsia="仿宋_GB2312" w:cs="仿宋_GB2312"/>
          <w:color w:val="000000"/>
          <w:sz w:val="32"/>
          <w:szCs w:val="32"/>
        </w:rPr>
        <w:t>统筹推进美丽乡村建设、农村“三大革命”和农村人居环境“百村示范、千村整治”，推动农村人居环境项目实施，扩大环境整治由中心村向自然村组延伸覆盖面，提高乡村宜居水平。推进农村“厕所革命”，加强农村改厕突出问题排查整改，稳步推进农村户厕无害化改造，实施农村厕所改造及粪污资源化利用民生工程，发挥村级组织和农民主体作用，建立完善管护维护体系。加大农村生活污水治理力度，推进农村生活污水治理设施建设和运行维护，统筹抓好农村生活污水和粪污一体化治理，建立农村污水治理长效运维管护机制。提升农村生活垃圾治理水平，建立健全农村生活垃圾治理</w:t>
      </w:r>
      <w:r>
        <w:rPr>
          <w:rFonts w:ascii="仿宋_GB2312" w:eastAsia="仿宋_GB2312" w:cs="仿宋_GB2312"/>
          <w:color w:val="000000"/>
          <w:sz w:val="32"/>
          <w:szCs w:val="32"/>
        </w:rPr>
        <w:t>PPP</w:t>
      </w:r>
      <w:r>
        <w:rPr>
          <w:rFonts w:hint="eastAsia" w:ascii="仿宋_GB2312" w:eastAsia="仿宋_GB2312" w:cs="仿宋_GB2312"/>
          <w:color w:val="000000"/>
          <w:sz w:val="32"/>
          <w:szCs w:val="32"/>
        </w:rPr>
        <w:t>项目绩效评价机制，不断提高市场化运营管理水平，实施整治全流程监管。到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年，休宁卫生厕所普及率达到</w:t>
      </w:r>
      <w:r>
        <w:rPr>
          <w:rFonts w:ascii="仿宋_GB2312" w:eastAsia="仿宋_GB2312" w:cs="仿宋_GB2312"/>
          <w:color w:val="000000"/>
          <w:sz w:val="32"/>
          <w:szCs w:val="32"/>
        </w:rPr>
        <w:t>90%</w:t>
      </w:r>
      <w:r>
        <w:rPr>
          <w:rFonts w:hint="eastAsia" w:ascii="仿宋_GB2312" w:eastAsia="仿宋_GB2312" w:cs="仿宋_GB2312"/>
          <w:color w:val="000000"/>
          <w:sz w:val="32"/>
          <w:szCs w:val="32"/>
        </w:rPr>
        <w:t>以上。</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农业农村现代化工程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粮食安全保障：</w:t>
            </w:r>
            <w:r>
              <w:rPr>
                <w:rFonts w:hint="eastAsia" w:ascii="仿宋_GB2312" w:cs="仿宋_GB2312"/>
                <w:color w:val="000000"/>
                <w:sz w:val="24"/>
                <w:szCs w:val="24"/>
              </w:rPr>
              <w:t>黄山昱园粮油贸易有限公司粮食深加工及仓储、配送建设项目、</w:t>
            </w:r>
            <w:r>
              <w:rPr>
                <w:rFonts w:hint="eastAsia" w:ascii="仿宋_GB2312" w:cs="仿宋_GB2312"/>
                <w:color w:val="000000"/>
                <w:sz w:val="24"/>
                <w:szCs w:val="24"/>
                <w:shd w:val="clear" w:color="auto" w:fill="FFFFFF"/>
              </w:rPr>
              <w:t>耕地保护与质量提升项目、全国农作物病虫病情监测分中心（省级）、蓝田镇水毁耕地复垦项目。</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特色农业发展：</w:t>
            </w:r>
            <w:r>
              <w:rPr>
                <w:rFonts w:hint="eastAsia" w:ascii="仿宋_GB2312" w:cs="仿宋_GB2312"/>
                <w:color w:val="000000"/>
                <w:sz w:val="24"/>
                <w:szCs w:val="24"/>
              </w:rPr>
              <w:t>特色农产品加工产业园、溪口现代农业示范园区、</w:t>
            </w:r>
            <w:r>
              <w:rPr>
                <w:rFonts w:hint="eastAsia" w:ascii="仿宋_GB2312" w:cs="仿宋_GB2312"/>
                <w:color w:val="000000"/>
                <w:sz w:val="24"/>
                <w:szCs w:val="24"/>
                <w:shd w:val="clear" w:color="auto" w:fill="FFFFFF"/>
              </w:rPr>
              <w:t>海阳镇菊花绿色精深加工项目、有机茶核心区建设、山区泉水养鱼养殖项目、</w:t>
            </w:r>
            <w:r>
              <w:rPr>
                <w:rFonts w:hint="eastAsia" w:ascii="仿宋_GB2312" w:cs="仿宋_GB2312"/>
                <w:color w:val="000000"/>
                <w:sz w:val="24"/>
                <w:szCs w:val="24"/>
              </w:rPr>
              <w:t>月潭湖镇高山低产茶园改造、月潭湖云雾茶基地、板桥乡泉水鱼塘改造、板桥乡新建泉水鱼基地、板桥乡尾水净化设施、板桥乡泉水鱼加工基地、板桥乡茶产业改造升级</w:t>
            </w:r>
            <w:r>
              <w:rPr>
                <w:rFonts w:hint="eastAsia" w:ascii="仿宋_GB2312" w:cs="仿宋_GB2312"/>
                <w:color w:val="000000"/>
                <w:sz w:val="24"/>
                <w:szCs w:val="24"/>
                <w:shd w:val="clear" w:color="auto" w:fill="FFFFFF"/>
              </w:rPr>
              <w:t>。</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农业产业融合：</w:t>
            </w:r>
            <w:r>
              <w:rPr>
                <w:rFonts w:hint="eastAsia" w:ascii="仿宋_GB2312" w:cs="仿宋_GB2312"/>
                <w:color w:val="000000"/>
                <w:sz w:val="24"/>
                <w:szCs w:val="24"/>
              </w:rPr>
              <w:t>东临溪</w:t>
            </w:r>
            <w:r>
              <w:rPr>
                <w:rFonts w:hint="eastAsia" w:ascii="仿宋_GB2312" w:cs="仿宋_GB2312"/>
                <w:color w:val="000000"/>
                <w:sz w:val="24"/>
                <w:szCs w:val="24"/>
                <w:shd w:val="clear" w:color="auto" w:fill="FFFFFF"/>
              </w:rPr>
              <w:t>千亩高效大棚蔬菜基地、农业绿色发展先行先试支撑体系建设、生物质成型燃料、机制炭项目、油菜绿色高质高效行动、休宁县东临溪台湾红藜文化产业园、宝莱华纳生态农场养殖项目（二、三期）、小罐茶基地、钗坑片蔬菜种植基地、泰源生态农业示范园、五城镇农产品示范基地、休宁新安源有机茶生产核心区基地建设、鹤城香榧产业、移民产业发展、观光体验农业项目、月潭湖观光农业项目、休宁县白茶高效生产观光园项目、休宁县毛竹林提产增效工程、</w:t>
            </w:r>
            <w:r>
              <w:rPr>
                <w:rFonts w:hint="eastAsia" w:ascii="仿宋_GB2312" w:cs="仿宋_GB2312"/>
                <w:color w:val="000000"/>
                <w:sz w:val="24"/>
                <w:szCs w:val="24"/>
              </w:rPr>
              <w:t>龙坑源山水田园综合体项目、源芳乡茶文化田园综合体项目、板桥乡现代农业产业园项目</w:t>
            </w:r>
            <w:r>
              <w:rPr>
                <w:rFonts w:hint="eastAsia" w:ascii="仿宋_GB2312" w:cs="仿宋_GB2312"/>
                <w:color w:val="000000"/>
                <w:sz w:val="24"/>
                <w:szCs w:val="24"/>
                <w:shd w:val="clear" w:color="auto" w:fill="FFFFFF"/>
              </w:rPr>
              <w:t>。</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美丽乡村项目：</w:t>
            </w:r>
            <w:r>
              <w:rPr>
                <w:rFonts w:hint="eastAsia" w:ascii="仿宋_GB2312" w:cs="仿宋_GB2312"/>
                <w:color w:val="000000"/>
                <w:sz w:val="24"/>
                <w:szCs w:val="24"/>
              </w:rPr>
              <w:t>阳干村美丽乡村整治提升改造整治工程、</w:t>
            </w:r>
            <w:r>
              <w:rPr>
                <w:rFonts w:hint="eastAsia" w:ascii="仿宋_GB2312" w:cs="仿宋_GB2312"/>
                <w:color w:val="000000"/>
                <w:sz w:val="24"/>
                <w:szCs w:val="24"/>
                <w:shd w:val="clear" w:color="auto" w:fill="FFFFFF"/>
              </w:rPr>
              <w:t>海阳镇汪金桥行政村汪金桥等</w:t>
            </w:r>
            <w:r>
              <w:rPr>
                <w:rFonts w:ascii="仿宋_GB2312" w:cs="仿宋_GB2312"/>
                <w:color w:val="000000"/>
                <w:sz w:val="24"/>
                <w:szCs w:val="24"/>
                <w:shd w:val="clear" w:color="auto" w:fill="FFFFFF"/>
              </w:rPr>
              <w:t>13</w:t>
            </w:r>
            <w:r>
              <w:rPr>
                <w:rFonts w:hint="eastAsia" w:ascii="仿宋_GB2312" w:cs="仿宋_GB2312"/>
                <w:color w:val="000000"/>
                <w:sz w:val="24"/>
                <w:szCs w:val="24"/>
                <w:shd w:val="clear" w:color="auto" w:fill="FFFFFF"/>
              </w:rPr>
              <w:t>个中心村美丽乡村建设、海阳镇美丽乡村建设和自然村整治项目、回源村省级美丽乡村建设项目、凰腾村美丽乡村建设。</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农村人居环境：</w:t>
            </w:r>
            <w:r>
              <w:rPr>
                <w:rFonts w:hint="eastAsia" w:ascii="仿宋_GB2312" w:cs="仿宋_GB2312"/>
                <w:color w:val="000000"/>
                <w:sz w:val="24"/>
                <w:szCs w:val="24"/>
                <w:shd w:val="clear" w:color="auto" w:fill="FFFFFF"/>
              </w:rPr>
              <w:t>农村人居环境“百村示范、千村整治”工程、商山农业农村改善人居环境、古塘</w:t>
            </w:r>
            <w:r>
              <w:rPr>
                <w:rFonts w:ascii="仿宋_GB2312"/>
                <w:color w:val="000000"/>
                <w:sz w:val="24"/>
                <w:szCs w:val="24"/>
                <w:shd w:val="clear" w:color="auto" w:fill="FFFFFF"/>
              </w:rPr>
              <w:t>—</w:t>
            </w:r>
            <w:r>
              <w:rPr>
                <w:rFonts w:hint="eastAsia" w:ascii="仿宋_GB2312" w:cs="仿宋_GB2312"/>
                <w:color w:val="000000"/>
                <w:sz w:val="24"/>
                <w:szCs w:val="24"/>
                <w:shd w:val="clear" w:color="auto" w:fill="FFFFFF"/>
              </w:rPr>
              <w:t>首村沿线环境整治提升工程、杨村段沿线环境整治提升工程、五城镇环境风貌整治工程、蓝田镇环境风貌整治工程、蓝田镇配套设施项目、高陡边坡、三村泥石流地质灾害治理、农村人居环境整治县申报、和坑村石笋峰地质灾害治理、</w:t>
            </w:r>
            <w:r>
              <w:rPr>
                <w:rFonts w:hint="eastAsia" w:ascii="仿宋_GB2312" w:cs="仿宋_GB2312"/>
                <w:color w:val="000000"/>
                <w:sz w:val="24"/>
                <w:szCs w:val="24"/>
              </w:rPr>
              <w:t>山洪沟清淤整治</w:t>
            </w:r>
            <w:r>
              <w:rPr>
                <w:rFonts w:hint="eastAsia" w:ascii="仿宋_GB2312" w:cs="仿宋_GB2312"/>
                <w:color w:val="000000"/>
                <w:sz w:val="24"/>
                <w:szCs w:val="24"/>
                <w:shd w:val="clear" w:color="auto" w:fill="FFFFFF"/>
              </w:rPr>
              <w:t>。</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乡村振兴项目：</w:t>
            </w:r>
            <w:r>
              <w:rPr>
                <w:rFonts w:hint="eastAsia" w:ascii="仿宋_GB2312" w:cs="仿宋_GB2312"/>
                <w:color w:val="000000"/>
                <w:sz w:val="24"/>
                <w:szCs w:val="24"/>
                <w:shd w:val="clear" w:color="auto" w:fill="FFFFFF"/>
              </w:rPr>
              <w:t>东临溪镇乡村振兴示范区建设项目、发展村级集体经济扶持村扶持项目、新安江源头乡村振兴融合发展先导区项目、蓝田镇农产品交易中心及附属配套设施建设、山斗乡乡村振兴产业发展、杨源村公共服务设施建设、龙田乡浯田村产业发展。</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殡葬事业：</w:t>
            </w:r>
            <w:r>
              <w:rPr>
                <w:rFonts w:hint="eastAsia" w:ascii="仿宋_GB2312" w:cs="仿宋_GB2312"/>
                <w:color w:val="000000"/>
                <w:sz w:val="24"/>
                <w:szCs w:val="24"/>
              </w:rPr>
              <w:t>黄山市休宁县城市公益性公墓建设项目、基础设施公墓类建设、黄山市休宁县殡仪馆改造提升项目、东临溪镇临溪村公墓二期。</w:t>
            </w:r>
          </w:p>
        </w:tc>
      </w:tr>
    </w:tbl>
    <w:p>
      <w:pPr>
        <w:pStyle w:val="3"/>
        <w:numPr>
          <w:ilvl w:val="0"/>
          <w:numId w:val="6"/>
        </w:numPr>
        <w:spacing w:before="156" w:after="156" w:line="560" w:lineRule="exact"/>
        <w:ind w:left="426" w:hanging="426"/>
        <w:rPr>
          <w:rFonts w:ascii="黑体" w:cs="Times New Roman"/>
          <w:color w:val="000000"/>
        </w:rPr>
      </w:pPr>
      <w:bookmarkStart w:id="114" w:name="_Toc72935908"/>
      <w:r>
        <w:rPr>
          <w:rFonts w:hint="eastAsia" w:ascii="黑体" w:hAnsi="黑体" w:cs="黑体"/>
          <w:color w:val="000000"/>
        </w:rPr>
        <w:t>促进经济社会发展全面绿色转型</w:t>
      </w:r>
      <w:bookmarkEnd w:id="114"/>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积极构建符合生态文明建设要求的生产生活方式，牢固树立“绿水青山就是金山银山”的理念，加强环境治理、生态建设，打赢蓝天碧水净土保卫战升级版，使休宁的天更蓝、水更清、山更绿。</w:t>
      </w:r>
    </w:p>
    <w:p>
      <w:pPr>
        <w:pStyle w:val="4"/>
        <w:numPr>
          <w:ilvl w:val="0"/>
          <w:numId w:val="13"/>
        </w:numPr>
        <w:spacing w:before="156" w:after="156" w:line="560" w:lineRule="exact"/>
        <w:ind w:left="426"/>
        <w:rPr>
          <w:rFonts w:cs="Times New Roman"/>
          <w:color w:val="000000"/>
        </w:rPr>
      </w:pPr>
      <w:bookmarkStart w:id="115" w:name="_Toc72935909"/>
      <w:r>
        <w:rPr>
          <w:rFonts w:hint="eastAsia" w:cs="楷体"/>
          <w:color w:val="000000"/>
        </w:rPr>
        <w:t>完善绿色生态系统</w:t>
      </w:r>
      <w:bookmarkEnd w:id="11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践行绿色发展理念，全力实施流域综合治理，建设和保护绿色生态系统，构建生态环境质量优的生态体系。</w:t>
      </w:r>
      <w:bookmarkStart w:id="116" w:name="_Toc55190937"/>
      <w:bookmarkStart w:id="117" w:name="_Toc55209101"/>
    </w:p>
    <w:bookmarkEnd w:id="116"/>
    <w:bookmarkEnd w:id="117"/>
    <w:p>
      <w:pPr>
        <w:spacing w:line="560" w:lineRule="exact"/>
        <w:ind w:firstLine="642" w:firstLineChars="200"/>
        <w:rPr>
          <w:rFonts w:ascii="仿宋_GB2312" w:eastAsia="仿宋_GB2312"/>
          <w:color w:val="000000"/>
          <w:sz w:val="32"/>
          <w:szCs w:val="32"/>
        </w:rPr>
      </w:pPr>
      <w:bookmarkStart w:id="118" w:name="_Toc56416820"/>
      <w:r>
        <w:rPr>
          <w:rFonts w:hint="eastAsia" w:ascii="楷体" w:hAnsi="楷体" w:eastAsia="楷体" w:cs="楷体"/>
          <w:b/>
          <w:bCs/>
          <w:color w:val="000000"/>
          <w:sz w:val="32"/>
          <w:szCs w:val="32"/>
        </w:rPr>
        <w:t>全面推进生态文明建设示范县创建。</w:t>
      </w:r>
      <w:r>
        <w:rPr>
          <w:rFonts w:hint="eastAsia" w:ascii="仿宋_GB2312" w:eastAsia="仿宋_GB2312" w:cs="仿宋_GB2312"/>
          <w:color w:val="000000"/>
          <w:sz w:val="32"/>
          <w:szCs w:val="32"/>
        </w:rPr>
        <w:t>充分发挥典型示范作用，树立和践行绿水青山就是金山银山的理念，坚定走生产发展、生活富裕、生态良好的文明发展道路，着力打造践行两山理念样板地。以三江源头保护为重点，不断深入推进国家主体功能区建设试点示范工作，严守资源承载底线和生态环保红线，持续推广“生态美”超市做法，推动环境质量持续改善。推动实施一批重点工程，改善生态环境，优化“山、水、林、田、湖、草”生态空间，繁荣绿色生态经济，提升生态生活、生态文化建设水平，努力推动休宁县建成宜居宜业宜游，构建人与自然和谐共生的生态文明建设示范县。</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强化生态安全屏障</w:t>
      </w:r>
      <w:bookmarkEnd w:id="11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统筹山水林田库草系统治理与保护，加快实施一批生态保护项目，推动构建“四心（齐云山国家风景名胜区生态核心、六股尖省级自然保护区生态核心、岭南省级自然保护区生态核心、月潭水库保护区生态核心）、三带（夹溪河、横江、率水生态保护带）、三区（北部、西南部和东南部生态保育区）”生态安全格局，保障区域生态安全。重点加强齐云山和六股尖、岭南自然保护区的森林生态系统建设，加强野生动植物保护。强化月潭水库的水资源及生态保护，保障未来黄山市中心城区的饮用水源地生态安全。推动绿色廊道建设，加快县前河、万全河、三板桥河“三河治理”，提升夹溪河、横江、率水等主干河流两侧植被覆盖率，提升横江国家湿地公园建设质量，保护横江优质水资源，完善湿地生态系统。加强生态保育区建设，采用“造、补、改、疏、育”等综合措施，提高水源涵养能力，加强森林防火与松材线虫病防治，开展林业检疫、封山护林专项行动。</w:t>
      </w:r>
    </w:p>
    <w:p>
      <w:pPr>
        <w:spacing w:line="560" w:lineRule="exact"/>
        <w:ind w:firstLine="642" w:firstLineChars="200"/>
        <w:rPr>
          <w:rFonts w:ascii="仿宋_GB2312" w:eastAsia="仿宋_GB2312"/>
          <w:color w:val="000000"/>
          <w:sz w:val="32"/>
          <w:szCs w:val="32"/>
        </w:rPr>
      </w:pPr>
      <w:bookmarkStart w:id="119" w:name="_Toc56416821"/>
      <w:r>
        <w:rPr>
          <w:rFonts w:hint="eastAsia" w:ascii="楷体" w:hAnsi="楷体" w:eastAsia="楷体" w:cs="楷体"/>
          <w:b/>
          <w:bCs/>
          <w:color w:val="000000"/>
          <w:sz w:val="32"/>
          <w:szCs w:val="32"/>
        </w:rPr>
        <w:t>促进生态价值转化</w:t>
      </w:r>
      <w:bookmarkEnd w:id="11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加快休宁生态综合补偿试点县建设，争取国家湿地生态效益补偿和国家渔业资源保护补偿。参与黄杭世界级自然生态和文化旅游廊道、新安江</w:t>
      </w:r>
      <w:r>
        <w:rPr>
          <w:rFonts w:ascii="仿宋_GB2312" w:eastAsia="仿宋_GB2312" w:cs="仿宋_GB2312"/>
          <w:color w:val="000000"/>
          <w:sz w:val="32"/>
          <w:szCs w:val="32"/>
        </w:rPr>
        <w:t>-</w:t>
      </w:r>
      <w:r>
        <w:rPr>
          <w:rFonts w:hint="eastAsia" w:ascii="仿宋_GB2312" w:eastAsia="仿宋_GB2312" w:cs="仿宋_GB2312"/>
          <w:color w:val="000000"/>
          <w:sz w:val="32"/>
          <w:szCs w:val="32"/>
        </w:rPr>
        <w:t>千岛湖生态补偿试验区、皖南</w:t>
      </w:r>
      <w:r>
        <w:rPr>
          <w:rFonts w:ascii="仿宋_GB2312" w:eastAsia="仿宋_GB2312" w:cs="仿宋_GB2312"/>
          <w:color w:val="000000"/>
          <w:sz w:val="32"/>
          <w:szCs w:val="32"/>
        </w:rPr>
        <w:t>-</w:t>
      </w:r>
      <w:r>
        <w:rPr>
          <w:rFonts w:hint="eastAsia" w:ascii="仿宋_GB2312" w:eastAsia="仿宋_GB2312" w:cs="仿宋_GB2312"/>
          <w:color w:val="000000"/>
          <w:sz w:val="32"/>
          <w:szCs w:val="32"/>
        </w:rPr>
        <w:t>浙西</w:t>
      </w:r>
      <w:r>
        <w:rPr>
          <w:rFonts w:ascii="仿宋_GB2312" w:eastAsia="仿宋_GB2312" w:cs="仿宋_GB2312"/>
          <w:color w:val="000000"/>
          <w:sz w:val="32"/>
          <w:szCs w:val="32"/>
        </w:rPr>
        <w:t>-</w:t>
      </w:r>
      <w:r>
        <w:rPr>
          <w:rFonts w:hint="eastAsia" w:ascii="仿宋_GB2312" w:eastAsia="仿宋_GB2312" w:cs="仿宋_GB2312"/>
          <w:color w:val="000000"/>
          <w:sz w:val="32"/>
          <w:szCs w:val="32"/>
        </w:rPr>
        <w:t>浙南绿色生态屏障建设，进一步推进新安江流域生态补偿试点工作，全面总结新安江流域水环境生态补偿三轮试点经验，借鉴国内外水环境生态补偿实践成果，高起点编制新安江发源地保护利用规划，持续深化国家生态文明先行示范区建设，支持流口、汪村、鹤城建设生态集镇，探索实施碳中和试点工作。积极探索建立钱江源头生态补偿机制，推进森林生态效益补偿、流域上下游生态补偿、生态优势特色产业和生态保护补偿工作制度化建设，探索建立排污权、碳排放权等交易制度。到</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年，建立与休宁经济社会发展水平相适应的生态保护补偿机制，筑牢源头生态保护绿色屏障。</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提高生态产业化、产业生态化水平。</w:t>
      </w:r>
      <w:r>
        <w:rPr>
          <w:rFonts w:hint="eastAsia" w:ascii="仿宋_GB2312" w:hAnsi="楷体" w:eastAsia="仿宋_GB2312" w:cs="仿宋_GB2312"/>
          <w:color w:val="000000"/>
          <w:sz w:val="32"/>
          <w:szCs w:val="32"/>
        </w:rPr>
        <w:t>发挥休宁丰富的水资源优势，做强水资源产业，积极开发水饮料，推动水源变财源。</w:t>
      </w:r>
      <w:r>
        <w:rPr>
          <w:rFonts w:hint="eastAsia" w:ascii="仿宋_GB2312" w:eastAsia="仿宋_GB2312" w:cs="仿宋_GB2312"/>
          <w:color w:val="000000"/>
          <w:sz w:val="32"/>
          <w:szCs w:val="32"/>
        </w:rPr>
        <w:t>大力发展生态农业、文旅融合产业，提升休宁茶叶、山泉流水养鱼、皖南花猪、脱毒贡菊等精致农产品附加值，丰富“文旅</w:t>
      </w:r>
      <w:r>
        <w:rPr>
          <w:rFonts w:ascii="仿宋_GB2312" w:eastAsia="仿宋_GB2312" w:cs="仿宋_GB2312"/>
          <w:color w:val="000000"/>
          <w:sz w:val="32"/>
          <w:szCs w:val="32"/>
        </w:rPr>
        <w:t>+</w:t>
      </w:r>
      <w:r>
        <w:rPr>
          <w:rFonts w:hint="eastAsia" w:ascii="仿宋_GB2312" w:eastAsia="仿宋_GB2312" w:cs="仿宋_GB2312"/>
          <w:color w:val="000000"/>
          <w:sz w:val="32"/>
          <w:szCs w:val="32"/>
        </w:rPr>
        <w:t>生态”内涵，持续开展“守护青山”行动，推动发展油茶等经济林，大力发展林下经济，推进箬叶采摘加工、竹木工艺品加工产业发展，努力实现绿色青山与金山银山有机统一，推动生态优势转化为经济效益。</w:t>
      </w:r>
    </w:p>
    <w:p>
      <w:pPr>
        <w:pStyle w:val="4"/>
        <w:numPr>
          <w:ilvl w:val="0"/>
          <w:numId w:val="13"/>
        </w:numPr>
        <w:spacing w:before="156" w:after="156" w:line="560" w:lineRule="exact"/>
        <w:ind w:left="426"/>
        <w:rPr>
          <w:rFonts w:cs="Times New Roman"/>
          <w:color w:val="000000"/>
        </w:rPr>
      </w:pPr>
      <w:bookmarkStart w:id="120" w:name="_Toc72935910"/>
      <w:r>
        <w:rPr>
          <w:rFonts w:hint="eastAsia" w:cs="楷体"/>
          <w:color w:val="000000"/>
        </w:rPr>
        <w:t>形成绿色发展方式和生活方式</w:t>
      </w:r>
      <w:bookmarkEnd w:id="120"/>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以生态优先、绿色发展为导向，推动形成生产生活节能降耗长效机制，加快推进经济社会发展向全面绿色转型。</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建设推广绿色建筑。</w:t>
      </w:r>
      <w:r>
        <w:rPr>
          <w:rFonts w:hint="eastAsia" w:ascii="仿宋_GB2312" w:eastAsia="仿宋_GB2312" w:cs="仿宋_GB2312"/>
          <w:color w:val="000000"/>
          <w:sz w:val="32"/>
          <w:szCs w:val="32"/>
        </w:rPr>
        <w:t>推进绿色发展项目建设，扩大可再生能源建筑应用规模，发展绿色建材，引导房地产开发企业建设绿色住宅小区，全面执行绿色建筑标准，积极推广应用绿色新型建材、装配式建筑和钢结构建筑，以新方净化彩钢为重点，推动申报安徽省装配式建筑产业基地。加强公共场馆和建成区住宅绿色建筑改造。加强绿色农房建设试点示范，建设美丽乡村。</w:t>
      </w:r>
      <w:bookmarkStart w:id="121" w:name="_Toc505160450"/>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鼓励发展绿色消费。</w:t>
      </w:r>
      <w:r>
        <w:rPr>
          <w:rFonts w:hint="eastAsia" w:ascii="仿宋_GB2312" w:eastAsia="仿宋_GB2312" w:cs="仿宋_GB2312"/>
          <w:color w:val="000000"/>
          <w:sz w:val="32"/>
          <w:szCs w:val="32"/>
        </w:rPr>
        <w:t>鼓励企事业单位积极参与绿色产品国家标准制定工作，引导绿色消费、绿色采购。完善政府绿色采购制度，积极探索开展绿色产品消费积分制度。推动创建绿色商场，引导商贸流通企业增设绿色产品专区，扩大绿色产品销售，促进绿色循环消费。严格执行国家关于限制过度包装的强制性标准，限制一次性用品的生产、销售和使用，推广可降解塑料袋或重复利用的布袋或纸袋。积极推动新能源汽车推广运用和基础设施建设，推行公务用车、公车客运、环卫等全部应用新能源汽车。</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加快构建绿色工业体系。</w:t>
      </w:r>
      <w:bookmarkEnd w:id="121"/>
      <w:r>
        <w:rPr>
          <w:rFonts w:hint="eastAsia" w:ascii="仿宋_GB2312" w:eastAsia="仿宋_GB2312" w:cs="仿宋_GB2312"/>
          <w:color w:val="000000"/>
          <w:sz w:val="32"/>
          <w:szCs w:val="32"/>
        </w:rPr>
        <w:t>以绿色工厂、绿色设计产品、绿色园区、绿色供应链建设为重点，构建休宁工业领域绿色制造体系，引导企业开展国家、省级绿色工厂创建工作，强化创建工作示范引领作用。鼓励企业加大实施节能环保技术改造项目，推进企业开发绿色产品，不断提高绿色产品生产比例，鼓励产品绿色设计和绿色制造，鼓励使用绿色材料，建立健全绿色产品质量监督体系，畅通绿色产品流通渠道，扩大市场占有率。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年，获评国家级绿色工厂达到</w:t>
      </w:r>
      <w:r>
        <w:rPr>
          <w:rFonts w:ascii="仿宋_GB2312" w:eastAsia="仿宋_GB2312" w:cs="仿宋_GB2312"/>
          <w:color w:val="000000"/>
          <w:sz w:val="32"/>
          <w:szCs w:val="32"/>
        </w:rPr>
        <w:t>3</w:t>
      </w:r>
      <w:r>
        <w:rPr>
          <w:rFonts w:hint="eastAsia" w:ascii="仿宋_GB2312" w:eastAsia="仿宋_GB2312" w:cs="仿宋_GB2312"/>
          <w:color w:val="000000"/>
          <w:sz w:val="32"/>
          <w:szCs w:val="32"/>
        </w:rPr>
        <w:t>户，省级绿色工厂达到</w:t>
      </w:r>
      <w:r>
        <w:rPr>
          <w:rFonts w:ascii="仿宋_GB2312" w:eastAsia="仿宋_GB2312" w:cs="仿宋_GB2312"/>
          <w:color w:val="000000"/>
          <w:sz w:val="32"/>
          <w:szCs w:val="32"/>
        </w:rPr>
        <w:t>4</w:t>
      </w:r>
      <w:r>
        <w:rPr>
          <w:rFonts w:hint="eastAsia" w:ascii="仿宋_GB2312" w:eastAsia="仿宋_GB2312" w:cs="仿宋_GB2312"/>
          <w:color w:val="000000"/>
          <w:sz w:val="32"/>
          <w:szCs w:val="32"/>
        </w:rPr>
        <w:t>户。</w:t>
      </w:r>
    </w:p>
    <w:p>
      <w:pPr>
        <w:spacing w:line="560" w:lineRule="exact"/>
        <w:ind w:firstLine="642" w:firstLineChars="200"/>
        <w:rPr>
          <w:rFonts w:ascii="仿宋_GB2312" w:eastAsia="仿宋_GB2312"/>
          <w:color w:val="000000"/>
          <w:sz w:val="30"/>
          <w:szCs w:val="30"/>
        </w:rPr>
      </w:pPr>
      <w:bookmarkStart w:id="122" w:name="_Toc55209107"/>
      <w:bookmarkStart w:id="123" w:name="_Toc56416824"/>
      <w:bookmarkStart w:id="124" w:name="_Toc55190943"/>
      <w:r>
        <w:rPr>
          <w:rFonts w:hint="eastAsia" w:ascii="楷体" w:hAnsi="楷体" w:eastAsia="楷体" w:cs="楷体"/>
          <w:b/>
          <w:bCs/>
          <w:color w:val="000000"/>
          <w:sz w:val="32"/>
          <w:szCs w:val="32"/>
        </w:rPr>
        <w:t>提升绿色生活水平</w:t>
      </w:r>
      <w:bookmarkEnd w:id="122"/>
      <w:bookmarkEnd w:id="123"/>
      <w:bookmarkEnd w:id="12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推行绿色出行模式，积极响应和支持低碳、绿色出行行动，选择低能耗、低污染和低排放的绿色出行方式</w:t>
      </w:r>
      <w:bookmarkStart w:id="125" w:name="_Toc418004174"/>
      <w:r>
        <w:rPr>
          <w:rFonts w:hint="eastAsia" w:ascii="仿宋_GB2312" w:eastAsia="仿宋_GB2312" w:cs="仿宋_GB2312"/>
          <w:color w:val="000000"/>
          <w:sz w:val="32"/>
          <w:szCs w:val="32"/>
        </w:rPr>
        <w:t>，推广使用绿色环保公共交通工具，鼓励自行车和步行方式，加强步行、自行车等慢行交通设施建设。促进绿色节能降耗，促进公共场所节能节水改造，推动家庭使用节能节水器具，推广新型能源的使用，推广使用新型低水耗器具</w:t>
      </w:r>
      <w:bookmarkEnd w:id="125"/>
      <w:bookmarkStart w:id="126" w:name="_Toc505160448"/>
      <w:r>
        <w:rPr>
          <w:rFonts w:hint="eastAsia" w:ascii="仿宋_GB2312" w:eastAsia="仿宋_GB2312" w:cs="仿宋_GB2312"/>
          <w:color w:val="000000"/>
          <w:sz w:val="32"/>
          <w:szCs w:val="32"/>
        </w:rPr>
        <w:t>，倡导绿色生活习惯</w:t>
      </w:r>
      <w:bookmarkEnd w:id="126"/>
      <w:r>
        <w:rPr>
          <w:rFonts w:hint="eastAsia" w:ascii="仿宋_GB2312" w:eastAsia="仿宋_GB2312" w:cs="仿宋_GB2312"/>
          <w:color w:val="000000"/>
          <w:sz w:val="32"/>
          <w:szCs w:val="32"/>
        </w:rPr>
        <w:t>，突出部门合作、县乡联动，探索建立河湖休养生息制度，全面加大禁渔力度。形成人与自然和谐相处的绿色生活方式和消费方式。</w:t>
      </w:r>
    </w:p>
    <w:p>
      <w:pPr>
        <w:pStyle w:val="4"/>
        <w:numPr>
          <w:ilvl w:val="0"/>
          <w:numId w:val="13"/>
        </w:numPr>
        <w:spacing w:before="156" w:after="156" w:line="560" w:lineRule="exact"/>
        <w:ind w:left="426"/>
        <w:rPr>
          <w:rFonts w:ascii="仿宋_GB2312" w:cs="Times New Roman"/>
          <w:color w:val="000000"/>
        </w:rPr>
      </w:pPr>
      <w:bookmarkStart w:id="127" w:name="_Toc56416825"/>
      <w:bookmarkStart w:id="128" w:name="_Toc55190944"/>
      <w:bookmarkStart w:id="129" w:name="_Toc55209108"/>
      <w:bookmarkStart w:id="130" w:name="_Toc72935911"/>
      <w:r>
        <w:rPr>
          <w:rFonts w:hint="eastAsia" w:ascii="仿宋_GB2312" w:cs="楷体"/>
          <w:color w:val="000000"/>
        </w:rPr>
        <w:t>促进资源高效节约利用</w:t>
      </w:r>
      <w:bookmarkEnd w:id="127"/>
      <w:bookmarkEnd w:id="128"/>
      <w:bookmarkEnd w:id="129"/>
      <w:bookmarkEnd w:id="130"/>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全面推进资源高效集约利用，严格实施能源消耗、水资源消耗、建设用地总量和强度“双控”制度，努力降低资源消耗强度，提高资源利用效率。</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强化节能减排。</w:t>
      </w:r>
      <w:r>
        <w:rPr>
          <w:rFonts w:hint="eastAsia" w:ascii="仿宋_GB2312" w:eastAsia="仿宋_GB2312" w:cs="仿宋_GB2312"/>
          <w:color w:val="000000"/>
          <w:sz w:val="32"/>
          <w:szCs w:val="32"/>
        </w:rPr>
        <w:t>推动实施一批资源综合利用项目，严格实施能源消费总量和强度“双控”制度，建设项目环评和环保制度，严格开展固定资产投资项目节能环评审查，严禁高耗能高污染企业落户休宁。加大新技术、新产品推广力度，推进重点用能企业技术改造，抓好重点行业和公共机构节能，推进合同能源管理，促进节能服务产业发展。</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加快创建节水型社会。</w:t>
      </w:r>
      <w:r>
        <w:rPr>
          <w:rFonts w:hint="eastAsia" w:ascii="仿宋_GB2312" w:eastAsia="仿宋_GB2312" w:cs="仿宋_GB2312"/>
          <w:color w:val="000000"/>
          <w:sz w:val="32"/>
          <w:szCs w:val="32"/>
        </w:rPr>
        <w:t>严格落实水资源消耗总量和强度“双控”制度，推动节水型企业创建，加强水资源管理，依法规范取用水行为，强化取水许可审批，加强水资源费征收管理，提高工业用水的重复利用率，推进农业节水和城市节水。实加强对水资源的保护，完善高耗水工业企业计划用水和定额管理制度，大力推广渠道防渗、管道输水等节水技术，加快建设节水型社会。</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促进土地资源集约。</w:t>
      </w:r>
      <w:r>
        <w:rPr>
          <w:rFonts w:hint="eastAsia" w:ascii="仿宋_GB2312" w:eastAsia="仿宋_GB2312" w:cs="仿宋_GB2312"/>
          <w:color w:val="000000"/>
          <w:sz w:val="32"/>
          <w:szCs w:val="32"/>
        </w:rPr>
        <w:t>树立“亩均论英雄”理念，持续推进“五未”土地专项处置攻坚战，加快一批“僵尸企业”“腾笼换鸟”，变“存量”为发展“增量”，实行建设用地总量和强度“双控”行动。坚持最严格的节约用地制度，围绕重点工业用地，加快“净地”建设，建立用地准入负面清单，全面推广“标准地”模式，努力降低资源消耗强度，大力实施农村土地整治，推进耕地保护，推进低效用地再开发和工矿废弃地复垦。</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推动资源综合循环利用。</w:t>
      </w:r>
      <w:r>
        <w:rPr>
          <w:rFonts w:hint="eastAsia" w:ascii="仿宋_GB2312" w:eastAsia="仿宋_GB2312" w:cs="仿宋_GB2312"/>
          <w:color w:val="000000"/>
          <w:sz w:val="32"/>
          <w:szCs w:val="32"/>
        </w:rPr>
        <w:t>加强资源全面节约和循环利用，实行垃圾分类制度，推进垃圾资源化利用，推行垃圾无害化处理。推进畜禽养殖污染治理和粪污综合利用工作。以东临溪镇、海阳镇、商山镇等重点区域为基础，进行再生资源综合利用布局，推进废弃物资和农林废弃物综合利用，提升再生资源综合利用工作水平。</w:t>
      </w:r>
    </w:p>
    <w:p>
      <w:pPr>
        <w:pStyle w:val="4"/>
        <w:numPr>
          <w:ilvl w:val="0"/>
          <w:numId w:val="13"/>
        </w:numPr>
        <w:spacing w:before="156" w:after="156" w:line="560" w:lineRule="exact"/>
        <w:ind w:left="426"/>
        <w:rPr>
          <w:rFonts w:cs="Times New Roman"/>
          <w:color w:val="000000"/>
        </w:rPr>
      </w:pPr>
      <w:bookmarkStart w:id="131" w:name="_Toc72935912"/>
      <w:r>
        <w:rPr>
          <w:rFonts w:hint="eastAsia" w:cs="楷体"/>
          <w:color w:val="000000"/>
        </w:rPr>
        <w:t>落实主体功能区战略</w:t>
      </w:r>
      <w:bookmarkEnd w:id="131"/>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持续推动国家重点生态功能区、生物多样性保护型和水养涵养型生态功能区建设，筑牢生态屏障。</w:t>
      </w:r>
    </w:p>
    <w:p>
      <w:pPr>
        <w:spacing w:line="560" w:lineRule="exact"/>
        <w:ind w:firstLine="642" w:firstLineChars="200"/>
        <w:rPr>
          <w:rFonts w:ascii="仿宋_GB2312" w:eastAsia="仿宋_GB2312"/>
          <w:color w:val="000000"/>
          <w:sz w:val="32"/>
          <w:szCs w:val="32"/>
        </w:rPr>
      </w:pPr>
      <w:bookmarkStart w:id="132" w:name="_Toc55209103"/>
      <w:bookmarkStart w:id="133" w:name="_Toc55190939"/>
      <w:r>
        <w:rPr>
          <w:rFonts w:hint="eastAsia" w:ascii="楷体" w:hAnsi="楷体" w:eastAsia="楷体" w:cs="楷体"/>
          <w:b/>
          <w:bCs/>
          <w:color w:val="000000"/>
          <w:sz w:val="32"/>
          <w:szCs w:val="32"/>
        </w:rPr>
        <w:t>强化生物多样性</w:t>
      </w:r>
      <w:bookmarkEnd w:id="132"/>
      <w:bookmarkEnd w:id="133"/>
      <w:r>
        <w:rPr>
          <w:rFonts w:hint="eastAsia" w:ascii="楷体" w:hAnsi="楷体" w:eastAsia="楷体" w:cs="楷体"/>
          <w:b/>
          <w:bCs/>
          <w:color w:val="000000"/>
          <w:sz w:val="32"/>
          <w:szCs w:val="32"/>
        </w:rPr>
        <w:t>保护。</w:t>
      </w:r>
      <w:r>
        <w:rPr>
          <w:rFonts w:hint="eastAsia" w:ascii="仿宋_GB2312" w:eastAsia="仿宋_GB2312" w:cs="仿宋_GB2312"/>
          <w:color w:val="000000"/>
          <w:sz w:val="32"/>
          <w:szCs w:val="32"/>
        </w:rPr>
        <w:t>重点加强齐云山森林公园和六股尖、岭南、马金岭自然保护区管理，对率水、横江等重要河流水库开展针对性的保护修复，有效保护珍稀野生动植物的栖息（原生）地，制定和实施生物多样性保护计划，加强野生动植物资源监管。加强防范本地物种资源流失以及外来物种入侵工作，推动有害生物监测、预警、防控，积极推行无公害防治，加大检疫检查和复检力度。</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加强生态工程建设。</w:t>
      </w:r>
      <w:r>
        <w:rPr>
          <w:rFonts w:hint="eastAsia" w:ascii="仿宋_GB2312" w:eastAsia="仿宋_GB2312" w:cs="仿宋_GB2312"/>
          <w:color w:val="000000"/>
          <w:sz w:val="32"/>
          <w:szCs w:val="32"/>
        </w:rPr>
        <w:t>加强水源地保护和治理，在江河支流及水库周围营造水源涵养林，大力开展封山育林和水土流失治理等生态建设工程，加强水土流失治理，以夹溪河等小流域为重点，实施小流域治理工程，加强水土保持执法监督，严格落实水土保持</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“三同时”制度，通过营造水土保持林、水源涵养林、修建各项小型水利水保设施等各项措施，提高自然修复能力。明确重点生态功能区和生态环境敏感区，实行严格保护，构筑生态安全屏障。</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合理开发旅游资源。</w:t>
      </w:r>
      <w:r>
        <w:rPr>
          <w:rFonts w:hint="eastAsia" w:ascii="仿宋_GB2312" w:hAnsi="楷体" w:eastAsia="仿宋_GB2312" w:cs="仿宋_GB2312"/>
          <w:color w:val="000000"/>
          <w:sz w:val="32"/>
          <w:szCs w:val="32"/>
        </w:rPr>
        <w:t>严格</w:t>
      </w:r>
      <w:r>
        <w:rPr>
          <w:rFonts w:hint="eastAsia" w:ascii="仿宋_GB2312" w:eastAsia="仿宋_GB2312" w:cs="仿宋_GB2312"/>
          <w:color w:val="000000"/>
          <w:sz w:val="32"/>
          <w:szCs w:val="32"/>
        </w:rPr>
        <w:t>政府规划指导，强化市场主体作用，控制景区内旅游设施的建设规模，合理设计旅游线路，减少开发过程中对资源造成的破坏，推动旅游经济的发展和生态环境的承载能力相适应，实现生态效益与经济效益相统一。</w:t>
      </w:r>
    </w:p>
    <w:p>
      <w:pPr>
        <w:pStyle w:val="4"/>
        <w:numPr>
          <w:ilvl w:val="0"/>
          <w:numId w:val="13"/>
        </w:numPr>
        <w:spacing w:before="156" w:after="156" w:line="560" w:lineRule="exact"/>
        <w:ind w:left="426"/>
        <w:rPr>
          <w:rFonts w:cs="Times New Roman"/>
          <w:color w:val="000000"/>
        </w:rPr>
      </w:pPr>
      <w:bookmarkStart w:id="134" w:name="_Toc72935913"/>
      <w:r>
        <w:rPr>
          <w:rFonts w:hint="eastAsia" w:cs="楷体"/>
          <w:color w:val="000000"/>
        </w:rPr>
        <w:t>加强环境综合治理</w:t>
      </w:r>
      <w:bookmarkEnd w:id="134"/>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以提高环境质量为核心，实行最严格的环境保护制度，持续推动环境综合治理项目实施，确保大气、水环境和土壤质量不断改善。</w:t>
      </w:r>
    </w:p>
    <w:p>
      <w:pPr>
        <w:spacing w:line="560" w:lineRule="exact"/>
        <w:ind w:firstLine="642" w:firstLineChars="200"/>
        <w:rPr>
          <w:rFonts w:ascii="仿宋_GB2312" w:eastAsia="仿宋_GB2312"/>
          <w:color w:val="000000"/>
          <w:sz w:val="32"/>
          <w:szCs w:val="32"/>
        </w:rPr>
      </w:pPr>
      <w:bookmarkStart w:id="135" w:name="_Toc56416828"/>
      <w:r>
        <w:rPr>
          <w:rFonts w:hint="eastAsia" w:ascii="楷体" w:hAnsi="楷体" w:eastAsia="楷体" w:cs="楷体"/>
          <w:b/>
          <w:bCs/>
          <w:color w:val="000000"/>
          <w:sz w:val="32"/>
          <w:szCs w:val="32"/>
        </w:rPr>
        <w:t>优化生态环境质量</w:t>
      </w:r>
      <w:bookmarkEnd w:id="135"/>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打赢蓝天保卫战，加强工业污染治理，开展控煤、控气、控尘、控烧工作，强化“散乱污”工业企业综合整治，加强秸秆禁烧、餐饮油烟治理、烟花爆竹禁放工作。推广使用新能源汽车和清洁能源汽车。推进绿色矿山建设，加强绿化修复、减尘抑尘。实施碧水攻坚战，加强工业水污染防治</w:t>
      </w:r>
      <w:r>
        <w:rPr>
          <w:rFonts w:hint="eastAsia" w:eastAsia="仿宋_GB2312" w:cs="仿宋_GB2312"/>
          <w:b/>
          <w:bCs/>
          <w:sz w:val="32"/>
          <w:szCs w:val="32"/>
        </w:rPr>
        <w:t>，</w:t>
      </w:r>
      <w:r>
        <w:rPr>
          <w:rFonts w:hint="eastAsia" w:eastAsia="仿宋_GB2312" w:cs="仿宋_GB2312"/>
          <w:sz w:val="32"/>
          <w:szCs w:val="32"/>
        </w:rPr>
        <w:t>逐步淘汰高耗能、高耗水产业</w:t>
      </w:r>
      <w:r>
        <w:rPr>
          <w:rFonts w:hint="eastAsia" w:ascii="仿宋_GB2312" w:eastAsia="仿宋_GB2312" w:cs="仿宋_GB2312"/>
          <w:color w:val="000000"/>
          <w:sz w:val="32"/>
          <w:szCs w:val="32"/>
        </w:rPr>
        <w:t>，完善城镇农村生活污水处理设施建设，加强地下水污染防治工作，推动实施新安江生态廊道提升工程，推进水环境综合整治。打好净土持久战，加强基本农田集中片区和饮用水水源地等土壤环境保护优先区域的治理工作，开展茶园和菊园污染土壤的治理与修复，推进固体废物处理处置，加强危险废物安全处置。</w:t>
      </w:r>
    </w:p>
    <w:p>
      <w:pPr>
        <w:spacing w:line="560" w:lineRule="exact"/>
        <w:ind w:firstLine="642" w:firstLineChars="200"/>
        <w:rPr>
          <w:rFonts w:ascii="仿宋_GB2312" w:eastAsia="仿宋_GB2312"/>
          <w:color w:val="000000"/>
          <w:sz w:val="30"/>
          <w:szCs w:val="30"/>
        </w:rPr>
      </w:pPr>
      <w:bookmarkStart w:id="136" w:name="_Toc56416829"/>
      <w:r>
        <w:rPr>
          <w:rFonts w:hint="eastAsia" w:ascii="楷体" w:hAnsi="楷体" w:eastAsia="楷体" w:cs="楷体"/>
          <w:b/>
          <w:bCs/>
          <w:color w:val="000000"/>
          <w:sz w:val="32"/>
          <w:szCs w:val="32"/>
        </w:rPr>
        <w:t>加强环保能力建设</w:t>
      </w:r>
      <w:bookmarkEnd w:id="136"/>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加强环境预警与监测能力，运用物联网、云计算、遥感等先进技术，建立生态环境监控预警体系，基本实现休宁环境质量、重点污染源监测全覆盖，推动部门之间生态环境监测数据有效互联共享，完善重污染天气监测预警和应急响应机制，加强土壤、重要水体、用水水源地、重点排污单位污染物排放监测。严格执法问责，加强环境信息、宣教和人才队伍建设，健全环境监管执法经费保障机制。</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生态环境保护修复工程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shd w:val="clear" w:color="auto" w:fill="FFFFFF"/>
              </w:rPr>
              <w:t>环境</w:t>
            </w:r>
            <w:r>
              <w:rPr>
                <w:rFonts w:hint="eastAsia" w:ascii="仿宋_GB2312" w:cs="仿宋_GB2312"/>
                <w:b/>
                <w:bCs/>
                <w:color w:val="000000"/>
                <w:sz w:val="24"/>
                <w:szCs w:val="24"/>
              </w:rPr>
              <w:t>综合治理</w:t>
            </w:r>
            <w:r>
              <w:rPr>
                <w:rFonts w:hint="eastAsia" w:ascii="仿宋_GB2312" w:cs="仿宋_GB2312"/>
                <w:b/>
                <w:bCs/>
                <w:color w:val="000000"/>
                <w:sz w:val="24"/>
                <w:szCs w:val="24"/>
                <w:shd w:val="clear" w:color="auto" w:fill="FFFFFF"/>
              </w:rPr>
              <w:t>：</w:t>
            </w:r>
            <w:r>
              <w:rPr>
                <w:rFonts w:hint="eastAsia" w:ascii="仿宋_GB2312" w:cs="仿宋_GB2312"/>
                <w:color w:val="000000"/>
                <w:sz w:val="24"/>
                <w:szCs w:val="24"/>
                <w:shd w:val="clear" w:color="auto" w:fill="FFFFFF"/>
              </w:rPr>
              <w:t>休宁县横江水环境治理、</w:t>
            </w:r>
            <w:r>
              <w:rPr>
                <w:rFonts w:hint="eastAsia" w:ascii="仿宋_GB2312" w:cs="仿宋_GB2312"/>
                <w:color w:val="000000"/>
                <w:sz w:val="24"/>
                <w:szCs w:val="24"/>
              </w:rPr>
              <w:t>新安江支流夹溪河（休宁段）水环境治理工程、</w:t>
            </w:r>
            <w:r>
              <w:rPr>
                <w:rFonts w:hint="eastAsia" w:ascii="仿宋_GB2312" w:cs="仿宋_GB2312"/>
                <w:color w:val="000000"/>
                <w:sz w:val="24"/>
                <w:szCs w:val="24"/>
                <w:shd w:val="clear" w:color="auto" w:fill="FFFFFF"/>
              </w:rPr>
              <w:t>回溪河（回岭</w:t>
            </w:r>
            <w:r>
              <w:rPr>
                <w:rFonts w:ascii="仿宋_GB2312" w:cs="仿宋_GB2312"/>
                <w:color w:val="000000"/>
                <w:sz w:val="24"/>
                <w:szCs w:val="24"/>
                <w:shd w:val="clear" w:color="auto" w:fill="FFFFFF"/>
              </w:rPr>
              <w:t>-</w:t>
            </w:r>
            <w:r>
              <w:rPr>
                <w:rFonts w:hint="eastAsia" w:ascii="仿宋_GB2312" w:cs="仿宋_GB2312"/>
                <w:color w:val="000000"/>
                <w:sz w:val="24"/>
                <w:szCs w:val="24"/>
                <w:shd w:val="clear" w:color="auto" w:fill="FFFFFF"/>
              </w:rPr>
              <w:t>韩村）综合治理、朱村河（东临溪</w:t>
            </w:r>
            <w:r>
              <w:rPr>
                <w:rFonts w:ascii="仿宋_GB2312" w:cs="仿宋_GB2312"/>
                <w:color w:val="000000"/>
                <w:sz w:val="24"/>
                <w:szCs w:val="24"/>
                <w:shd w:val="clear" w:color="auto" w:fill="FFFFFF"/>
              </w:rPr>
              <w:t>-</w:t>
            </w:r>
            <w:r>
              <w:rPr>
                <w:rFonts w:hint="eastAsia" w:ascii="仿宋_GB2312" w:cs="仿宋_GB2312"/>
                <w:color w:val="000000"/>
                <w:sz w:val="24"/>
                <w:szCs w:val="24"/>
                <w:shd w:val="clear" w:color="auto" w:fill="FFFFFF"/>
              </w:rPr>
              <w:t>心村段）生态环境综合整治工程、新安江流域鹤城乡环境综合治理示范乡镇项目、东临溪镇水环境综合治理、璜茅废弃矿山整治开发、</w:t>
            </w:r>
            <w:r>
              <w:rPr>
                <w:rFonts w:hint="eastAsia" w:ascii="仿宋_GB2312" w:cs="仿宋_GB2312"/>
                <w:color w:val="000000"/>
                <w:sz w:val="24"/>
                <w:szCs w:val="24"/>
              </w:rPr>
              <w:t>横江（齐云山段）生态治理工程、</w:t>
            </w:r>
            <w:r>
              <w:rPr>
                <w:rFonts w:hint="eastAsia" w:ascii="宋体" w:hAnsi="宋体" w:eastAsia="宋体" w:cs="宋体"/>
                <w:color w:val="000000"/>
                <w:sz w:val="24"/>
                <w:szCs w:val="24"/>
                <w:shd w:val="clear" w:color="auto" w:fill="FFFFFF"/>
              </w:rPr>
              <w:t>珮</w:t>
            </w:r>
            <w:r>
              <w:rPr>
                <w:rFonts w:hint="eastAsia" w:ascii="仿宋_GB2312" w:hAnsi="仿宋_GB2312" w:cs="仿宋_GB2312"/>
                <w:color w:val="000000"/>
                <w:sz w:val="24"/>
                <w:szCs w:val="24"/>
                <w:shd w:val="clear" w:color="auto" w:fill="FFFFFF"/>
              </w:rPr>
              <w:t>琅河生态环境综合整治工程、龙田河（含古楼河）生态环境综合整治工程、新安江率水河溪口段综合治理。</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生态保护修复</w:t>
            </w:r>
            <w:r>
              <w:rPr>
                <w:rFonts w:hint="eastAsia" w:ascii="仿宋_GB2312" w:cs="仿宋_GB2312"/>
                <w:b/>
                <w:bCs/>
                <w:color w:val="000000"/>
                <w:sz w:val="24"/>
                <w:szCs w:val="24"/>
                <w:shd w:val="clear" w:color="auto" w:fill="FFFFFF"/>
              </w:rPr>
              <w:t>：</w:t>
            </w:r>
            <w:r>
              <w:rPr>
                <w:rFonts w:hint="eastAsia" w:ascii="仿宋_GB2312" w:cs="仿宋_GB2312"/>
                <w:color w:val="000000"/>
                <w:sz w:val="24"/>
                <w:szCs w:val="24"/>
                <w:shd w:val="clear" w:color="auto" w:fill="FFFFFF"/>
              </w:rPr>
              <w:t>五城镇亚行贷款黄山新安江流域生态保护和绿色发展项目、休宁县生物多样性保护项目、横江流域休宁县段（古城岩</w:t>
            </w:r>
            <w:r>
              <w:rPr>
                <w:rFonts w:ascii="仿宋_GB2312" w:cs="仿宋_GB2312"/>
                <w:color w:val="000000"/>
                <w:sz w:val="24"/>
                <w:szCs w:val="24"/>
                <w:shd w:val="clear" w:color="auto" w:fill="FFFFFF"/>
              </w:rPr>
              <w:t>-</w:t>
            </w:r>
            <w:r>
              <w:rPr>
                <w:rFonts w:hint="eastAsia" w:ascii="仿宋_GB2312" w:cs="仿宋_GB2312"/>
                <w:color w:val="000000"/>
                <w:sz w:val="24"/>
                <w:szCs w:val="24"/>
                <w:shd w:val="clear" w:color="auto" w:fill="FFFFFF"/>
              </w:rPr>
              <w:t>齐云山）生态廊道可持续发展工程、汪村镇生态集镇建设（新安江源头生态环境保护综合治理项目</w:t>
            </w:r>
            <w:r>
              <w:rPr>
                <w:rFonts w:ascii="仿宋_GB2312"/>
                <w:color w:val="000000"/>
                <w:sz w:val="24"/>
                <w:szCs w:val="24"/>
                <w:shd w:val="clear" w:color="auto" w:fill="FFFFFF"/>
              </w:rPr>
              <w:t>——</w:t>
            </w:r>
            <w:r>
              <w:rPr>
                <w:rFonts w:hint="eastAsia" w:ascii="仿宋_GB2312" w:cs="仿宋_GB2312"/>
                <w:color w:val="000000"/>
                <w:sz w:val="24"/>
                <w:szCs w:val="24"/>
                <w:shd w:val="clear" w:color="auto" w:fill="FFFFFF"/>
              </w:rPr>
              <w:t>石屋坑、小源河生态环境综合治理项目等建设）、月潭湖缓冲带生态保护修复工程、六股尖省级自然保护区、休宁县松材线虫病综合防控建设项目、月潭湖镇环湖生态堤坝建设。</w:t>
            </w:r>
          </w:p>
          <w:p>
            <w:pPr>
              <w:pStyle w:val="25"/>
              <w:numPr>
                <w:ilvl w:val="0"/>
                <w:numId w:val="8"/>
              </w:numPr>
              <w:spacing w:line="360" w:lineRule="exact"/>
              <w:rPr>
                <w:rFonts w:ascii="仿宋_GB2312" w:cs="Times New Roman"/>
                <w:color w:val="000000"/>
                <w:sz w:val="24"/>
                <w:szCs w:val="24"/>
                <w:shd w:val="clear" w:color="auto" w:fill="FFFFFF"/>
              </w:rPr>
            </w:pPr>
            <w:r>
              <w:rPr>
                <w:rFonts w:hint="eastAsia" w:ascii="仿宋_GB2312" w:cs="仿宋_GB2312"/>
                <w:b/>
                <w:bCs/>
                <w:color w:val="000000"/>
                <w:sz w:val="24"/>
                <w:szCs w:val="24"/>
              </w:rPr>
              <w:t>河流河道治理：</w:t>
            </w:r>
            <w:r>
              <w:rPr>
                <w:rFonts w:hint="eastAsia" w:ascii="仿宋_GB2312" w:cs="仿宋_GB2312"/>
                <w:color w:val="000000"/>
                <w:sz w:val="24"/>
                <w:szCs w:val="24"/>
              </w:rPr>
              <w:t>首村河中小流域水系治理项目、流口镇小源小河流治理项目、海阳镇中小流域水系治理项目、西关碣护岸治理工程、休宁县休宁河迪岭段防洪治理工程、蓝田镇河道治理工程、龙田河护岸治理工程、溪口小二型水库治理、板桥乡水系改造。</w:t>
            </w:r>
          </w:p>
          <w:p>
            <w:pPr>
              <w:pStyle w:val="25"/>
              <w:numPr>
                <w:ilvl w:val="0"/>
                <w:numId w:val="8"/>
              </w:numPr>
              <w:spacing w:line="360" w:lineRule="exact"/>
              <w:rPr>
                <w:rFonts w:ascii="仿宋_GB2312" w:cs="Times New Roman"/>
                <w:b/>
                <w:bCs/>
                <w:color w:val="000000"/>
                <w:sz w:val="24"/>
                <w:szCs w:val="24"/>
              </w:rPr>
            </w:pPr>
            <w:r>
              <w:rPr>
                <w:rFonts w:hint="eastAsia" w:ascii="仿宋_GB2312" w:cs="仿宋_GB2312"/>
                <w:b/>
                <w:bCs/>
                <w:color w:val="000000"/>
                <w:sz w:val="24"/>
                <w:szCs w:val="24"/>
              </w:rPr>
              <w:t>资源综合利用：</w:t>
            </w:r>
            <w:r>
              <w:rPr>
                <w:rFonts w:ascii="仿宋_GB2312" w:cs="仿宋_GB2312"/>
                <w:color w:val="000000"/>
                <w:sz w:val="24"/>
                <w:szCs w:val="24"/>
                <w:shd w:val="clear" w:color="auto" w:fill="FFFFFF"/>
              </w:rPr>
              <w:t>2021</w:t>
            </w:r>
            <w:r>
              <w:rPr>
                <w:rFonts w:hint="eastAsia" w:ascii="仿宋_GB2312" w:cs="仿宋_GB2312"/>
                <w:color w:val="000000"/>
                <w:sz w:val="24"/>
                <w:szCs w:val="24"/>
                <w:shd w:val="clear" w:color="auto" w:fill="FFFFFF"/>
              </w:rPr>
              <w:t>年畜禽养殖粪污资源化利用整县推进项目、</w:t>
            </w:r>
            <w:r>
              <w:rPr>
                <w:rFonts w:hint="eastAsia" w:ascii="仿宋_GB2312" w:cs="仿宋_GB2312"/>
                <w:color w:val="000000"/>
                <w:sz w:val="24"/>
                <w:szCs w:val="24"/>
              </w:rPr>
              <w:t>废旧物资再生资源综合利用产业园项目、秸秆综合利用项目、</w:t>
            </w:r>
            <w:r>
              <w:rPr>
                <w:rFonts w:hint="eastAsia" w:ascii="仿宋_GB2312" w:cs="仿宋_GB2312"/>
                <w:color w:val="000000"/>
                <w:sz w:val="24"/>
                <w:szCs w:val="24"/>
                <w:shd w:val="clear" w:color="auto" w:fill="FFFFFF"/>
              </w:rPr>
              <w:t>生物质能综合利用工程、县城投宜居公司砂石加工厂项目。</w:t>
            </w:r>
          </w:p>
          <w:p>
            <w:pPr>
              <w:pStyle w:val="25"/>
              <w:numPr>
                <w:ilvl w:val="0"/>
                <w:numId w:val="8"/>
              </w:numPr>
              <w:spacing w:line="360" w:lineRule="exact"/>
              <w:rPr>
                <w:rFonts w:ascii="仿宋_GB2312" w:cs="Times New Roman"/>
                <w:b/>
                <w:bCs/>
                <w:color w:val="000000"/>
                <w:sz w:val="24"/>
                <w:szCs w:val="24"/>
              </w:rPr>
            </w:pPr>
            <w:r>
              <w:rPr>
                <w:rFonts w:hint="eastAsia" w:ascii="仿宋_GB2312" w:cs="仿宋_GB2312"/>
                <w:b/>
                <w:bCs/>
                <w:color w:val="000000"/>
                <w:sz w:val="24"/>
                <w:szCs w:val="24"/>
              </w:rPr>
              <w:t>绿色发展：</w:t>
            </w:r>
            <w:r>
              <w:rPr>
                <w:rFonts w:hint="eastAsia" w:ascii="仿宋_GB2312" w:cs="仿宋_GB2312"/>
                <w:color w:val="000000"/>
                <w:sz w:val="24"/>
                <w:szCs w:val="24"/>
              </w:rPr>
              <w:t>新型轻钢结构装配式建筑配件生产项目。</w:t>
            </w:r>
          </w:p>
        </w:tc>
      </w:tr>
    </w:tbl>
    <w:p>
      <w:pPr>
        <w:pStyle w:val="3"/>
        <w:numPr>
          <w:ilvl w:val="0"/>
          <w:numId w:val="6"/>
        </w:numPr>
        <w:spacing w:before="156" w:after="156" w:line="560" w:lineRule="exact"/>
        <w:ind w:left="426" w:hanging="426"/>
        <w:rPr>
          <w:rFonts w:ascii="仿宋_GB2312" w:cs="Times New Roman"/>
          <w:color w:val="000000"/>
        </w:rPr>
      </w:pPr>
      <w:bookmarkStart w:id="137" w:name="_Toc72935914"/>
      <w:r>
        <w:rPr>
          <w:rFonts w:hint="eastAsia" w:ascii="仿宋_GB2312" w:cs="黑体"/>
          <w:color w:val="000000"/>
        </w:rPr>
        <w:t>全面扩大内需市场</w:t>
      </w:r>
      <w:bookmarkEnd w:id="13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坚持扩大内需，开拓县乡市场，加快培育消费新业态，加大消费供给，不断满足量大面广的基层需求，激发消费潜力，提升民生品质，形成消费新动能。</w:t>
      </w:r>
    </w:p>
    <w:p>
      <w:pPr>
        <w:pStyle w:val="4"/>
        <w:numPr>
          <w:ilvl w:val="0"/>
          <w:numId w:val="14"/>
        </w:numPr>
        <w:spacing w:before="156" w:after="156" w:line="560" w:lineRule="exact"/>
        <w:ind w:left="426"/>
        <w:rPr>
          <w:rFonts w:cs="Times New Roman"/>
          <w:color w:val="000000"/>
        </w:rPr>
      </w:pPr>
      <w:bookmarkStart w:id="138" w:name="_Toc72935915"/>
      <w:r>
        <w:rPr>
          <w:rFonts w:hint="eastAsia" w:cs="楷体"/>
          <w:color w:val="000000"/>
        </w:rPr>
        <w:t>拓展消费业态和消费供给</w:t>
      </w:r>
      <w:bookmarkEnd w:id="13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重点发展夜间经济，打造夜间消费集中区，完善城市商贸服务，形成新的消费增长点。</w:t>
      </w:r>
    </w:p>
    <w:p>
      <w:pPr>
        <w:spacing w:line="560" w:lineRule="exact"/>
        <w:ind w:firstLine="642" w:firstLineChars="200"/>
        <w:rPr>
          <w:rFonts w:ascii="仿宋_GB2312" w:eastAsia="仿宋_GB2312"/>
          <w:color w:val="000000"/>
          <w:sz w:val="32"/>
          <w:szCs w:val="32"/>
        </w:rPr>
      </w:pPr>
      <w:bookmarkStart w:id="139" w:name="_Toc56416794"/>
      <w:r>
        <w:rPr>
          <w:rFonts w:hint="eastAsia" w:ascii="楷体" w:hAnsi="楷体" w:eastAsia="楷体" w:cs="楷体"/>
          <w:b/>
          <w:bCs/>
          <w:color w:val="000000"/>
          <w:sz w:val="32"/>
          <w:szCs w:val="32"/>
        </w:rPr>
        <w:t>培育发展</w:t>
      </w:r>
      <w:bookmarkEnd w:id="139"/>
      <w:r>
        <w:rPr>
          <w:rFonts w:hint="eastAsia" w:ascii="楷体" w:hAnsi="楷体" w:eastAsia="楷体" w:cs="楷体"/>
          <w:b/>
          <w:bCs/>
          <w:color w:val="000000"/>
          <w:sz w:val="32"/>
          <w:szCs w:val="32"/>
        </w:rPr>
        <w:t>夜间经济。</w:t>
      </w:r>
      <w:r>
        <w:rPr>
          <w:rFonts w:hint="eastAsia" w:ascii="仿宋_GB2312" w:eastAsia="仿宋_GB2312" w:cs="仿宋_GB2312"/>
          <w:color w:val="000000"/>
          <w:sz w:val="32"/>
          <w:szCs w:val="32"/>
        </w:rPr>
        <w:t>加强文化、旅游、住宿、交通等产业联动，实施横江、率水综合保护和开发，打造齐云小镇“夜市天街”、横江夜游景观带、月潭湖夜经济等夜间经济集中消费区，推动重点项目建设，拓展万安古镇、古城岩景区点文旅新业态，加强文旅资源统一管理，营造高品质夜间营商消费环境，推动夜间经济快速发展。推动夜间经济场所亮化、美化工程改造提升，建设各类专业市场、商业网点、社区便利店，推动城市商圈和特色商业街夜间延时服务，丰富夜游、夜购、夜娱等夜间消费体验活动。打造夜游休宁品牌，开发齐云山夜游经济，建立健全吃、喝、玩、住、行服务设施，进一步吸引居民和域外游客。</w:t>
      </w:r>
    </w:p>
    <w:p>
      <w:pPr>
        <w:spacing w:line="560" w:lineRule="exact"/>
        <w:ind w:firstLine="642" w:firstLineChars="200"/>
        <w:rPr>
          <w:rFonts w:ascii="仿宋_GB2312" w:eastAsia="仿宋_GB2312"/>
          <w:color w:val="000000"/>
          <w:sz w:val="32"/>
          <w:szCs w:val="32"/>
        </w:rPr>
      </w:pPr>
      <w:bookmarkStart w:id="140" w:name="_Toc55209046"/>
      <w:bookmarkStart w:id="141" w:name="_Toc55190869"/>
      <w:bookmarkStart w:id="142" w:name="_Toc56416795"/>
      <w:r>
        <w:rPr>
          <w:rFonts w:hint="eastAsia" w:ascii="楷体" w:hAnsi="楷体" w:eastAsia="楷体" w:cs="楷体"/>
          <w:b/>
          <w:bCs/>
          <w:color w:val="000000"/>
          <w:sz w:val="32"/>
          <w:szCs w:val="32"/>
        </w:rPr>
        <w:t>提升商贸</w:t>
      </w:r>
      <w:bookmarkEnd w:id="140"/>
      <w:bookmarkEnd w:id="141"/>
      <w:r>
        <w:rPr>
          <w:rFonts w:hint="eastAsia" w:ascii="楷体" w:hAnsi="楷体" w:eastAsia="楷体" w:cs="楷体"/>
          <w:b/>
          <w:bCs/>
          <w:color w:val="000000"/>
          <w:sz w:val="32"/>
          <w:szCs w:val="32"/>
        </w:rPr>
        <w:t>发展水平</w:t>
      </w:r>
      <w:bookmarkEnd w:id="142"/>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优化县城商业布局，发挥有效投资关键性作用，加快商贸服务业项目建设，调动社会力量积极参与，推动滨江路商业开发，打造滨江路商业综合体，引导重点商贸流通企业加大品牌商品、进口商品、绿色商品的供应，推动多种类型生活服务企业入驻，形成新的综合服务新区。完善农贸市场建设，推动居民生活便利化。建设一批特色商业街区，以茶干等绿色食品为突破口，建设五城特色街区，依托齐云山风景区旅游资源，突出农家乐、绿色采摘、特色餐饮等主题，开发齐云山旅游特色小镇，完善提升万安汽车服务长廊，不断完善销售、服务等配套功能，引进国内（外）知名品牌汽车</w:t>
      </w:r>
      <w:r>
        <w:rPr>
          <w:rFonts w:ascii="仿宋_GB2312" w:eastAsia="仿宋_GB2312" w:cs="仿宋_GB2312"/>
          <w:color w:val="000000"/>
          <w:sz w:val="32"/>
          <w:szCs w:val="32"/>
        </w:rPr>
        <w:t>4S</w:t>
      </w:r>
      <w:r>
        <w:rPr>
          <w:rFonts w:hint="eastAsia" w:ascii="仿宋_GB2312" w:eastAsia="仿宋_GB2312" w:cs="仿宋_GB2312"/>
          <w:color w:val="000000"/>
          <w:sz w:val="32"/>
          <w:szCs w:val="32"/>
        </w:rPr>
        <w:t>店，推进区域汽车贸易经济发展。补充完善成品油零售网点规划，新增东临溪镇广源路加油站、榆村加油站、汪村加油站、鹤城加油站、璜尖加油站、白际加油站、龙田省际加油站等</w:t>
      </w:r>
      <w:r>
        <w:rPr>
          <w:rFonts w:ascii="仿宋_GB2312" w:eastAsia="仿宋_GB2312" w:cs="仿宋_GB2312"/>
          <w:color w:val="000000"/>
          <w:sz w:val="32"/>
          <w:szCs w:val="32"/>
        </w:rPr>
        <w:t>7</w:t>
      </w:r>
      <w:r>
        <w:rPr>
          <w:rFonts w:hint="eastAsia" w:ascii="仿宋_GB2312" w:eastAsia="仿宋_GB2312" w:cs="仿宋_GB2312"/>
          <w:color w:val="000000"/>
          <w:sz w:val="32"/>
          <w:szCs w:val="32"/>
        </w:rPr>
        <w:t>座加油站建设规范，推进商山、榆村、源芳、海宁、流口、龙田、江潭、临溪广源路等重点地区加油站建设，促进加油站布局更加合理均衡。到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年，力争社会消费品零售总额高于全市增速，年均增长</w:t>
      </w:r>
      <w:r>
        <w:rPr>
          <w:rFonts w:ascii="仿宋_GB2312" w:eastAsia="仿宋_GB2312" w:cs="仿宋_GB2312"/>
          <w:color w:val="000000"/>
          <w:sz w:val="32"/>
          <w:szCs w:val="32"/>
        </w:rPr>
        <w:t>8%</w:t>
      </w:r>
      <w:r>
        <w:rPr>
          <w:rFonts w:hint="eastAsia" w:ascii="仿宋_GB2312" w:eastAsia="仿宋_GB2312" w:cs="仿宋_GB2312"/>
          <w:color w:val="000000"/>
          <w:sz w:val="32"/>
          <w:szCs w:val="32"/>
        </w:rPr>
        <w:t>以上。</w:t>
      </w:r>
    </w:p>
    <w:p>
      <w:pPr>
        <w:spacing w:line="560" w:lineRule="exact"/>
        <w:ind w:firstLine="642" w:firstLineChars="200"/>
        <w:rPr>
          <w:rFonts w:ascii="仿宋_GB2312" w:hAnsi="楷体"/>
          <w:color w:val="000000"/>
          <w:sz w:val="32"/>
          <w:szCs w:val="32"/>
          <w:shd w:val="clear" w:color="auto" w:fill="FFFFFF"/>
        </w:rPr>
      </w:pPr>
      <w:r>
        <w:rPr>
          <w:rFonts w:hint="eastAsia" w:ascii="楷体" w:hAnsi="楷体" w:eastAsia="楷体" w:cs="楷体"/>
          <w:b/>
          <w:bCs/>
          <w:color w:val="000000"/>
          <w:sz w:val="32"/>
          <w:szCs w:val="32"/>
        </w:rPr>
        <w:t>推动商贸服务转型升级。</w:t>
      </w:r>
      <w:r>
        <w:rPr>
          <w:rFonts w:hint="eastAsia" w:ascii="仿宋_GB2312" w:eastAsia="仿宋_GB2312" w:cs="仿宋_GB2312"/>
          <w:color w:val="000000"/>
          <w:sz w:val="32"/>
          <w:szCs w:val="32"/>
        </w:rPr>
        <w:t>加快发展养老服务、餐饮住宿、家政服务等生活性服务业，推动商贸服务产业转型升级。着力发展商贸流通业，大力实施“互联网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工程，改造提升传统流通产业。推进大型超市实现线上线下融合发展。加快业态创新，引导推进会展经济、健康养老经济和文旅融合等业态发展。融入长三角一体化发展，加快商业模式创新，围绕新零售、商贸流通数字化，大力发展供应链管理服务业，鼓励发展电子商务、共同配送、直营体验店、无人售货店等新兴模式。加快服务业品牌培育，实施服务业品牌战略，建立服务业名牌培育机制。</w:t>
      </w:r>
    </w:p>
    <w:p>
      <w:pPr>
        <w:pStyle w:val="4"/>
        <w:numPr>
          <w:ilvl w:val="0"/>
          <w:numId w:val="14"/>
        </w:numPr>
        <w:spacing w:before="156" w:after="156" w:line="560" w:lineRule="exact"/>
        <w:ind w:left="426"/>
        <w:rPr>
          <w:rFonts w:cs="Times New Roman"/>
          <w:color w:val="000000"/>
        </w:rPr>
      </w:pPr>
      <w:bookmarkStart w:id="143" w:name="_Toc72935916"/>
      <w:r>
        <w:rPr>
          <w:rFonts w:hint="eastAsia" w:cs="楷体"/>
          <w:color w:val="000000"/>
        </w:rPr>
        <w:t>提升消费市场环境</w:t>
      </w:r>
      <w:bookmarkEnd w:id="143"/>
    </w:p>
    <w:p>
      <w:pPr>
        <w:spacing w:line="560" w:lineRule="exact"/>
        <w:ind w:firstLine="640" w:firstLineChars="200"/>
        <w:rPr>
          <w:rFonts w:ascii="仿宋_GB2312" w:eastAsia="仿宋_GB2312"/>
          <w:color w:val="000000"/>
          <w:sz w:val="30"/>
          <w:szCs w:val="30"/>
        </w:rPr>
      </w:pPr>
      <w:r>
        <w:rPr>
          <w:rFonts w:hint="eastAsia" w:ascii="仿宋_GB2312" w:eastAsia="仿宋_GB2312" w:cs="仿宋_GB2312"/>
          <w:color w:val="000000"/>
          <w:sz w:val="32"/>
          <w:szCs w:val="32"/>
        </w:rPr>
        <w:t>推进与“全国</w:t>
      </w:r>
      <w:r>
        <w:rPr>
          <w:rFonts w:ascii="仿宋_GB2312" w:eastAsia="仿宋_GB2312" w:cs="仿宋_GB2312"/>
          <w:color w:val="000000"/>
          <w:sz w:val="32"/>
          <w:szCs w:val="32"/>
        </w:rPr>
        <w:t>12315</w:t>
      </w:r>
      <w:r>
        <w:rPr>
          <w:rFonts w:hint="eastAsia" w:ascii="仿宋_GB2312" w:eastAsia="仿宋_GB2312" w:cs="仿宋_GB2312"/>
          <w:color w:val="000000"/>
          <w:sz w:val="32"/>
          <w:szCs w:val="32"/>
        </w:rPr>
        <w:t>互联网平台”信息互通，加强</w:t>
      </w:r>
      <w:r>
        <w:rPr>
          <w:rFonts w:ascii="仿宋_GB2312" w:eastAsia="仿宋_GB2312" w:cs="仿宋_GB2312"/>
          <w:color w:val="000000"/>
          <w:sz w:val="32"/>
          <w:szCs w:val="32"/>
        </w:rPr>
        <w:t>12315</w:t>
      </w:r>
      <w:r>
        <w:rPr>
          <w:rFonts w:hint="eastAsia" w:ascii="仿宋_GB2312" w:eastAsia="仿宋_GB2312" w:cs="仿宋_GB2312"/>
          <w:color w:val="000000"/>
          <w:sz w:val="32"/>
          <w:szCs w:val="32"/>
        </w:rPr>
        <w:t>行政执法体系和消费者维权信息化建设，推动线上线下相结合的消费纠纷解决机制加速形成。加强消费市场监管，全面推行“双随机、一公开”监管，扩大“双随机”抽查事项清单覆盖范围，加强服务业质量监督管理，推行首席质量官制度，健全质量跟踪反馈评估体系和质量安全风险监测评估制度。积极宣传和引导放心消费，开展放心消费宣传进社区、进农村、进景区、进学校，对放心消费示范单位积极落实动态管理制度，规范企业守法自律诚信经营。</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消费转型促进工程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夜间经济培育：</w:t>
            </w:r>
            <w:r>
              <w:rPr>
                <w:rFonts w:hint="eastAsia" w:ascii="仿宋_GB2312" w:cs="仿宋_GB2312"/>
                <w:color w:val="000000"/>
                <w:sz w:val="24"/>
                <w:szCs w:val="24"/>
              </w:rPr>
              <w:t>齐云山夜游项目、黄山蛙谷休闲农园项目。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商贸服务提升：</w:t>
            </w:r>
            <w:r>
              <w:rPr>
                <w:rFonts w:hint="eastAsia" w:ascii="仿宋_GB2312" w:cs="仿宋_GB2312"/>
                <w:color w:val="000000"/>
                <w:sz w:val="24"/>
                <w:szCs w:val="24"/>
              </w:rPr>
              <w:t>黄山昆仑物资综合贸易市场、中洲汽贸城二期、中石化海宁等加油站（包括商山、榆村、源芳、流口、龙田、江潭、东临溪广源加油站）、吾悦广场、现代商贸服务产业园项目、蓝田镇农贸市场收储工程。</w:t>
            </w:r>
          </w:p>
        </w:tc>
      </w:tr>
    </w:tbl>
    <w:p>
      <w:pPr>
        <w:pStyle w:val="3"/>
        <w:numPr>
          <w:ilvl w:val="0"/>
          <w:numId w:val="6"/>
        </w:numPr>
        <w:spacing w:before="156" w:after="156" w:line="560" w:lineRule="exact"/>
        <w:ind w:left="426" w:hanging="426"/>
        <w:rPr>
          <w:rFonts w:cs="Times New Roman"/>
          <w:color w:val="000000"/>
        </w:rPr>
      </w:pPr>
      <w:bookmarkStart w:id="144" w:name="_Toc72935917"/>
      <w:r>
        <w:rPr>
          <w:rFonts w:hint="eastAsia" w:cs="黑体"/>
          <w:color w:val="000000"/>
        </w:rPr>
        <w:t>高水平构筑城乡基础设施体系</w:t>
      </w:r>
      <w:bookmarkEnd w:id="144"/>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按照适度超前、提质增效、安全高效的原则，持续加大投入，努力构建综合交通体系、现代能源体系和水安全保障体系，强化新型基础设施建设，增强经济社会发展支撑能力。</w:t>
      </w:r>
    </w:p>
    <w:p>
      <w:pPr>
        <w:pStyle w:val="4"/>
        <w:numPr>
          <w:ilvl w:val="0"/>
          <w:numId w:val="15"/>
        </w:numPr>
        <w:spacing w:before="156" w:after="156" w:line="560" w:lineRule="exact"/>
        <w:ind w:left="426" w:hanging="426"/>
        <w:rPr>
          <w:rFonts w:cs="Times New Roman"/>
          <w:color w:val="000000"/>
        </w:rPr>
      </w:pPr>
      <w:bookmarkStart w:id="145" w:name="_Toc72935918"/>
      <w:r>
        <w:rPr>
          <w:rFonts w:hint="eastAsia" w:cs="楷体"/>
          <w:color w:val="000000"/>
        </w:rPr>
        <w:t>提高现代综合保障能力</w:t>
      </w:r>
      <w:bookmarkEnd w:id="14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加强基础设施建设，构建立体化便捷化交通体系，强化能源安全，保障城乡饮水需求，提升经济社会安全运行水平。</w:t>
      </w:r>
    </w:p>
    <w:p>
      <w:pPr>
        <w:spacing w:line="560" w:lineRule="exact"/>
        <w:ind w:firstLine="642" w:firstLineChars="200"/>
        <w:rPr>
          <w:rFonts w:ascii="仿宋_GB2312" w:eastAsia="仿宋_GB2312"/>
          <w:color w:val="000000"/>
          <w:sz w:val="32"/>
          <w:szCs w:val="32"/>
        </w:rPr>
      </w:pPr>
      <w:bookmarkStart w:id="146" w:name="_Toc55190928"/>
      <w:bookmarkStart w:id="147" w:name="_Toc56416808"/>
      <w:bookmarkStart w:id="148" w:name="_Toc55209092"/>
      <w:r>
        <w:rPr>
          <w:rFonts w:hint="eastAsia" w:ascii="楷体" w:hAnsi="楷体" w:eastAsia="楷体" w:cs="楷体"/>
          <w:b/>
          <w:bCs/>
          <w:color w:val="000000"/>
          <w:sz w:val="32"/>
          <w:szCs w:val="32"/>
        </w:rPr>
        <w:t>构建现代交通体系</w:t>
      </w:r>
      <w:bookmarkEnd w:id="146"/>
      <w:bookmarkEnd w:id="147"/>
      <w:bookmarkEnd w:id="14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以提高综合运输能力为重点，集中建设对外运输主干线，形成以发达的公路网为依托，铁路、高速为骨架，通用机场为补充的铁高联动、干支相连、集疏成网的多维快速交通体系。</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公路：推动德上高速和黄山市北外环高速公路建设。推动实施国省干线公路进出口通道“网化工程”，全面构建一级公路骨架网络，二级公路“提升工程”，干线公路“品质工程”，全面提高普通国省道服务能力、县乡道路建设水平，提升公路服务品质。按照“四好农村路”建设要求，实施较大自然村通硬化路工程，具备条件的建设村通双车道县乡公路提升改造工程，建成一批产业路、资源路、旅游路，利用三年时间销号农村公路存量危桥，逐步完善公路安全隐患整治工作。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年，高速公路通车里程达到</w:t>
      </w:r>
      <w:r>
        <w:rPr>
          <w:rFonts w:ascii="仿宋_GB2312" w:eastAsia="仿宋_GB2312" w:cs="仿宋_GB2312"/>
          <w:color w:val="000000"/>
          <w:sz w:val="32"/>
          <w:szCs w:val="32"/>
        </w:rPr>
        <w:t>120</w:t>
      </w:r>
      <w:r>
        <w:rPr>
          <w:rFonts w:hint="eastAsia" w:ascii="仿宋_GB2312" w:eastAsia="仿宋_GB2312" w:cs="仿宋_GB2312"/>
          <w:color w:val="000000"/>
          <w:sz w:val="32"/>
          <w:szCs w:val="32"/>
        </w:rPr>
        <w:t>公里，提升中心城区辐射作用，形成“三纵一横一联”的高速公路网络布局。新改建一级公路</w:t>
      </w:r>
      <w:r>
        <w:rPr>
          <w:rFonts w:ascii="仿宋_GB2312" w:eastAsia="仿宋_GB2312" w:cs="仿宋_GB2312"/>
          <w:color w:val="000000"/>
          <w:sz w:val="32"/>
          <w:szCs w:val="32"/>
        </w:rPr>
        <w:t>21</w:t>
      </w:r>
      <w:r>
        <w:rPr>
          <w:rFonts w:hint="eastAsia" w:ascii="仿宋_GB2312" w:eastAsia="仿宋_GB2312" w:cs="仿宋_GB2312"/>
          <w:color w:val="000000"/>
          <w:sz w:val="32"/>
          <w:szCs w:val="32"/>
        </w:rPr>
        <w:t>公里，新改建二级公路</w:t>
      </w:r>
      <w:r>
        <w:rPr>
          <w:rFonts w:ascii="仿宋_GB2312" w:eastAsia="仿宋_GB2312" w:cs="仿宋_GB2312"/>
          <w:color w:val="000000"/>
          <w:sz w:val="32"/>
          <w:szCs w:val="32"/>
        </w:rPr>
        <w:t>43</w:t>
      </w:r>
      <w:r>
        <w:rPr>
          <w:rFonts w:hint="eastAsia" w:ascii="仿宋_GB2312" w:eastAsia="仿宋_GB2312" w:cs="仿宋_GB2312"/>
          <w:color w:val="000000"/>
          <w:sz w:val="32"/>
          <w:szCs w:val="32"/>
        </w:rPr>
        <w:t>公里，完成县乡新改建三级公路</w:t>
      </w:r>
      <w:r>
        <w:rPr>
          <w:rFonts w:ascii="仿宋_GB2312" w:eastAsia="仿宋_GB2312" w:cs="仿宋_GB2312"/>
          <w:color w:val="000000"/>
          <w:sz w:val="32"/>
          <w:szCs w:val="32"/>
        </w:rPr>
        <w:t>106</w:t>
      </w:r>
      <w:r>
        <w:rPr>
          <w:rFonts w:hint="eastAsia" w:ascii="仿宋_GB2312" w:eastAsia="仿宋_GB2312" w:cs="仿宋_GB2312"/>
          <w:color w:val="000000"/>
          <w:sz w:val="32"/>
          <w:szCs w:val="32"/>
        </w:rPr>
        <w:t>公里。</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铁路：积极推进轻轨</w:t>
      </w:r>
      <w:r>
        <w:rPr>
          <w:rFonts w:ascii="仿宋_GB2312" w:eastAsia="仿宋_GB2312" w:cs="仿宋_GB2312"/>
          <w:color w:val="000000"/>
          <w:sz w:val="32"/>
          <w:szCs w:val="32"/>
        </w:rPr>
        <w:t>T1</w:t>
      </w:r>
      <w:r>
        <w:rPr>
          <w:rFonts w:hint="eastAsia" w:ascii="仿宋_GB2312" w:eastAsia="仿宋_GB2312" w:cs="仿宋_GB2312"/>
          <w:color w:val="000000"/>
          <w:sz w:val="32"/>
          <w:szCs w:val="32"/>
        </w:rPr>
        <w:t>、</w:t>
      </w:r>
      <w:r>
        <w:rPr>
          <w:rFonts w:ascii="仿宋_GB2312" w:eastAsia="仿宋_GB2312" w:cs="仿宋_GB2312"/>
          <w:color w:val="000000"/>
          <w:sz w:val="32"/>
          <w:szCs w:val="32"/>
        </w:rPr>
        <w:t>T2</w:t>
      </w:r>
      <w:r>
        <w:rPr>
          <w:rFonts w:hint="eastAsia" w:ascii="仿宋_GB2312" w:eastAsia="仿宋_GB2312" w:cs="仿宋_GB2312"/>
          <w:color w:val="000000"/>
          <w:sz w:val="32"/>
          <w:szCs w:val="32"/>
        </w:rPr>
        <w:t>线建设。推动完成昌景黄铁路建设。远期谋划对接《黄山市轨道交通线网规划》，推动黄山市域旅游轻轨</w:t>
      </w:r>
      <w:r>
        <w:rPr>
          <w:rFonts w:ascii="仿宋_GB2312" w:eastAsia="仿宋_GB2312" w:cs="仿宋_GB2312"/>
          <w:color w:val="000000"/>
          <w:sz w:val="32"/>
          <w:szCs w:val="32"/>
        </w:rPr>
        <w:t>T4</w:t>
      </w:r>
      <w:r>
        <w:rPr>
          <w:rFonts w:hint="eastAsia" w:ascii="仿宋_GB2312" w:eastAsia="仿宋_GB2312" w:cs="仿宋_GB2312"/>
          <w:color w:val="000000"/>
          <w:sz w:val="32"/>
          <w:szCs w:val="32"/>
        </w:rPr>
        <w:t>线建设，推进休宁旅游轻轨站点布局。</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航空：推动黄山国际机场迁建，预留新机场选址。加强与杭州周边地区通用航空点、上海都市圈通用机场的连接，推动皖南通用机场群休宁</w:t>
      </w:r>
      <w:r>
        <w:rPr>
          <w:rFonts w:ascii="仿宋_GB2312" w:eastAsia="仿宋_GB2312" w:cs="仿宋_GB2312"/>
          <w:color w:val="000000"/>
          <w:sz w:val="32"/>
          <w:szCs w:val="32"/>
        </w:rPr>
        <w:t>A2</w:t>
      </w:r>
      <w:r>
        <w:rPr>
          <w:rFonts w:hint="eastAsia" w:ascii="仿宋_GB2312" w:eastAsia="仿宋_GB2312" w:cs="仿宋_GB2312"/>
          <w:color w:val="000000"/>
          <w:sz w:val="32"/>
          <w:szCs w:val="32"/>
        </w:rPr>
        <w:t>级通用机场建设。</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水运：结合月潭湖丰富的文化旅游资源，打造具有特色的“山水画廊”旅游黄金水道体系，“十四五”期间，持续推进月潭湖旅游码头建设，推进宜居宜业宜游的内河水上旅游客运发展。</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公共交通：创建“安徽省优先发展公共交通示范城市”，推动公共交通项目实施，推动建设集公交停保场、客运站、大型货运车辆集散中心等功能于一体的绿色交通发展中心。完善城市公交线路、城镇公交线路和镇村公交（镇镇公交）线路三级网络建设，谋划开通新线路，深化建制村通客车工作，推进城乡客运服务一体化，推动城乡居民出行服务快速化、便捷化。完善“一站式”高铁黄山北站至休宁中心城区的公共交通体系，做好齐云山风景区与高铁黟县东站路网衔接，开通公交形成县域和高铁站之间快速客运通道。加快对外出入交通建设，建设休宁客运东站，推进陆上交通全面接轨长三角重点城市。</w:t>
      </w:r>
    </w:p>
    <w:p>
      <w:pPr>
        <w:spacing w:line="560" w:lineRule="exact"/>
        <w:ind w:firstLine="642" w:firstLineChars="200"/>
        <w:rPr>
          <w:rFonts w:ascii="仿宋_GB2312" w:eastAsia="仿宋_GB2312"/>
          <w:color w:val="000000"/>
          <w:sz w:val="32"/>
          <w:szCs w:val="32"/>
        </w:rPr>
      </w:pPr>
      <w:bookmarkStart w:id="149" w:name="_Toc55209093"/>
      <w:bookmarkStart w:id="150" w:name="_Toc56416809"/>
      <w:bookmarkStart w:id="151" w:name="_Toc55190929"/>
      <w:r>
        <w:rPr>
          <w:rFonts w:hint="eastAsia" w:ascii="楷体" w:hAnsi="楷体" w:eastAsia="楷体" w:cs="楷体"/>
          <w:b/>
          <w:bCs/>
          <w:color w:val="000000"/>
          <w:sz w:val="32"/>
          <w:szCs w:val="32"/>
        </w:rPr>
        <w:t>构建现代能源保障体系</w:t>
      </w:r>
      <w:bookmarkEnd w:id="149"/>
      <w:bookmarkEnd w:id="150"/>
      <w:bookmarkEnd w:id="15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推动能源保障重大项目建设，推进新一轮城乡电网改造，适度超前建设电力设施，加强县城区、工业园区等重点区域电力规划，合理设置电源布点，推动月潭水库工程、马金岭风电场、横江</w:t>
      </w:r>
      <w:r>
        <w:rPr>
          <w:rFonts w:ascii="仿宋_GB2312" w:eastAsia="仿宋_GB2312" w:cs="仿宋_GB2312"/>
          <w:color w:val="000000"/>
          <w:sz w:val="32"/>
          <w:szCs w:val="32"/>
        </w:rPr>
        <w:t>110KV</w:t>
      </w:r>
      <w:r>
        <w:rPr>
          <w:rFonts w:hint="eastAsia" w:ascii="仿宋_GB2312" w:eastAsia="仿宋_GB2312" w:cs="仿宋_GB2312"/>
          <w:color w:val="000000"/>
          <w:sz w:val="32"/>
          <w:szCs w:val="32"/>
        </w:rPr>
        <w:t>输变电、水南板块、东临溪板块等一批重点供电项目建设，加强全县各大支柱产业企业用电服务工作，强化保障“两茶一花一鱼”产业区电力供应。加快智能电网及运行体系建设。推动里庄抽水蓄能电站项目建设。加快天然气管网铺设延伸，完善天然气储备站配套，加快天然气进园区、进小区，实施老旧小区天然气管道替代行动，有序推进城市地下综合管廊建设。加快发展清洁能源和新能源，大力发展光伏发电，稳妥推进风电建设。推进清洁能源和可再生能源使用，推动集中式充电桩和快速充电桩建设。优化能源消费结构，严格控制煤炭消费总量，加强散煤治理，实施煤炭消费减量替代行动，推动天然气、电力、清洁能源等优质能源替代燃煤使用。</w:t>
      </w:r>
    </w:p>
    <w:p>
      <w:pPr>
        <w:spacing w:line="560" w:lineRule="exact"/>
        <w:ind w:firstLine="642" w:firstLineChars="200"/>
        <w:rPr>
          <w:rFonts w:ascii="仿宋_GB2312" w:eastAsia="仿宋_GB2312"/>
          <w:color w:val="000000"/>
          <w:sz w:val="32"/>
          <w:szCs w:val="32"/>
        </w:rPr>
      </w:pPr>
      <w:bookmarkStart w:id="152" w:name="_Toc56416810"/>
      <w:bookmarkStart w:id="153" w:name="_Toc55209094"/>
      <w:bookmarkStart w:id="154" w:name="_Toc55190930"/>
      <w:r>
        <w:rPr>
          <w:rFonts w:hint="eastAsia" w:ascii="楷体" w:hAnsi="楷体" w:eastAsia="楷体" w:cs="楷体"/>
          <w:b/>
          <w:bCs/>
          <w:color w:val="000000"/>
          <w:sz w:val="32"/>
          <w:szCs w:val="32"/>
        </w:rPr>
        <w:t>推动水治民安工程建设</w:t>
      </w:r>
      <w:bookmarkEnd w:id="152"/>
      <w:bookmarkEnd w:id="153"/>
      <w:bookmarkEnd w:id="15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进水利设施项目建设实施，完善农田水利基本建设，完善高标准农田建设、土地开发整理等标准规范，加快高标准农田建设，实施农业节水增效工程，分区域规模化推进高效节水灌溉，加快农业高效节水体系建设，强化小型农田水利工程建设和大中型灌区田间工程配套，推广渠道防渗、管道输水、喷灌、微灌等节水灌溉技术，完善灌溉用水计量设施，增强农业抗旱和综合生产能力。推动实施中小河流治理重点县综合整治、水系连通工程、防洪治理工程。强化河长制建设管理，推动示范河湖建设，建立总河长令机制，集中开展“清四乱”行动。</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保障城乡饮水安全。</w:t>
      </w:r>
      <w:r>
        <w:rPr>
          <w:rFonts w:hint="eastAsia" w:ascii="仿宋_GB2312" w:eastAsia="仿宋_GB2312" w:cs="仿宋_GB2312"/>
          <w:color w:val="000000"/>
          <w:sz w:val="32"/>
          <w:szCs w:val="32"/>
        </w:rPr>
        <w:t>加强饮用水水源地保护，推动给排水项目建设，持续推进集中式饮用水水源地规范化建设，加强集中式饮用水源保护区管理，防止项目建设和饮用水源保护发生冲突，全面完成县城水源地环境问题专项整治，加强水源地环境监察，开展饮用水源保护区周边村庄农业面源污染防治，切实保障饮用水源环境安全，推进国控、市控企业监督性监测及乡镇、城区饮用水水质监测和饮用水源环境状况评估。定期监测县一、二水厂水源地、重点乡镇饮用水源地、农村环境质量等地表水考核断面水质，推进农村饮水安全巩固提升工程建设。</w:t>
      </w:r>
    </w:p>
    <w:p>
      <w:pPr>
        <w:pStyle w:val="4"/>
        <w:numPr>
          <w:ilvl w:val="0"/>
          <w:numId w:val="15"/>
        </w:numPr>
        <w:spacing w:before="156" w:after="156" w:line="560" w:lineRule="exact"/>
        <w:ind w:left="426" w:hanging="426"/>
        <w:rPr>
          <w:rFonts w:cs="Times New Roman"/>
          <w:color w:val="000000"/>
        </w:rPr>
      </w:pPr>
      <w:bookmarkStart w:id="155" w:name="_Toc72935919"/>
      <w:r>
        <w:rPr>
          <w:rFonts w:hint="eastAsia" w:cs="楷体"/>
          <w:color w:val="000000"/>
        </w:rPr>
        <w:t>加快新型基础设施建设</w:t>
      </w:r>
      <w:bookmarkEnd w:id="15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鼓励企业与科研院所协同推广“</w:t>
      </w:r>
      <w:r>
        <w:rPr>
          <w:rFonts w:ascii="仿宋_GB2312" w:eastAsia="仿宋_GB2312" w:cs="仿宋_GB2312"/>
          <w:color w:val="000000"/>
          <w:sz w:val="32"/>
          <w:szCs w:val="32"/>
        </w:rPr>
        <w:t>5G+AI+</w:t>
      </w:r>
      <w:r>
        <w:rPr>
          <w:rFonts w:hint="eastAsia" w:ascii="仿宋_GB2312" w:eastAsia="仿宋_GB2312" w:cs="仿宋_GB2312"/>
          <w:color w:val="000000"/>
          <w:sz w:val="32"/>
          <w:szCs w:val="32"/>
        </w:rPr>
        <w:t>工业互联网”在电子信息、汽车、装备制造等重点行业垂直领域的先导应用。深入推进</w:t>
      </w:r>
      <w:r>
        <w:rPr>
          <w:rFonts w:ascii="仿宋_GB2312" w:eastAsia="仿宋_GB2312" w:cs="仿宋_GB2312"/>
          <w:color w:val="000000"/>
          <w:sz w:val="32"/>
          <w:szCs w:val="32"/>
        </w:rPr>
        <w:t xml:space="preserve"> IPv6</w:t>
      </w:r>
      <w:r>
        <w:rPr>
          <w:rFonts w:hint="eastAsia" w:ascii="仿宋_GB2312" w:eastAsia="仿宋_GB2312" w:cs="仿宋_GB2312"/>
          <w:color w:val="000000"/>
          <w:sz w:val="32"/>
          <w:szCs w:val="32"/>
        </w:rPr>
        <w:t>规模部署，加快网络和应用升级改造。推进云计算服务应用，提升云计算服务能力。加快推动面向农业生产、农副产品加工等环节所需的</w:t>
      </w:r>
      <w:r>
        <w:rPr>
          <w:rFonts w:ascii="仿宋_GB2312" w:eastAsia="仿宋_GB2312" w:cs="仿宋_GB2312"/>
          <w:color w:val="000000"/>
          <w:sz w:val="32"/>
          <w:szCs w:val="32"/>
        </w:rPr>
        <w:t>5G</w:t>
      </w:r>
      <w:r>
        <w:rPr>
          <w:rFonts w:hint="eastAsia" w:ascii="仿宋_GB2312" w:eastAsia="仿宋_GB2312" w:cs="仿宋_GB2312"/>
          <w:color w:val="000000"/>
          <w:sz w:val="32"/>
          <w:szCs w:val="32"/>
        </w:rPr>
        <w:t>、物联网、大数据等新型信息基础设施建设，加快农业物联网在作物种植、渔业生产、畜禽养殖等基础设施推广应用。积极推广</w:t>
      </w:r>
      <w:r>
        <w:rPr>
          <w:rFonts w:ascii="仿宋_GB2312" w:eastAsia="仿宋_GB2312" w:cs="仿宋_GB2312"/>
          <w:color w:val="000000"/>
          <w:sz w:val="32"/>
          <w:szCs w:val="32"/>
        </w:rPr>
        <w:t>5G</w:t>
      </w:r>
      <w:r>
        <w:rPr>
          <w:rFonts w:hint="eastAsia" w:ascii="仿宋_GB2312" w:eastAsia="仿宋_GB2312" w:cs="仿宋_GB2312"/>
          <w:color w:val="000000"/>
          <w:sz w:val="32"/>
          <w:szCs w:val="32"/>
        </w:rPr>
        <w:t>应用，发展</w:t>
      </w:r>
      <w:r>
        <w:rPr>
          <w:rFonts w:ascii="仿宋_GB2312" w:eastAsia="仿宋_GB2312" w:cs="仿宋_GB2312"/>
          <w:color w:val="000000"/>
          <w:sz w:val="32"/>
          <w:szCs w:val="32"/>
        </w:rPr>
        <w:t>5G+4K</w:t>
      </w:r>
      <w:r>
        <w:rPr>
          <w:rFonts w:hint="eastAsia" w:ascii="仿宋_GB2312" w:eastAsia="仿宋_GB2312" w:cs="仿宋_GB2312"/>
          <w:color w:val="000000"/>
          <w:sz w:val="32"/>
          <w:szCs w:val="32"/>
        </w:rPr>
        <w:t>高清视频、</w:t>
      </w:r>
      <w:r>
        <w:rPr>
          <w:rFonts w:ascii="仿宋_GB2312" w:eastAsia="仿宋_GB2312" w:cs="仿宋_GB2312"/>
          <w:color w:val="000000"/>
          <w:sz w:val="32"/>
          <w:szCs w:val="32"/>
        </w:rPr>
        <w:t>5G+</w:t>
      </w:r>
      <w:r>
        <w:rPr>
          <w:rFonts w:hint="eastAsia" w:ascii="仿宋_GB2312" w:eastAsia="仿宋_GB2312" w:cs="仿宋_GB2312"/>
          <w:color w:val="000000"/>
          <w:sz w:val="32"/>
          <w:szCs w:val="32"/>
        </w:rPr>
        <w:t>智能物流等，推动以数字技术为支撑的新产业、新业态、新模式，加强基础信息网络建设，以推进智慧信息化为手段，推进光纤到户，实现公共热点区域、齐云山和重点乡村旅游景点无线局域网覆盖。到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年，推动休宁实现</w:t>
      </w:r>
      <w:r>
        <w:rPr>
          <w:rFonts w:ascii="仿宋_GB2312" w:eastAsia="仿宋_GB2312" w:cs="仿宋_GB2312"/>
          <w:color w:val="000000"/>
          <w:sz w:val="32"/>
          <w:szCs w:val="32"/>
        </w:rPr>
        <w:t>5G</w:t>
      </w:r>
      <w:r>
        <w:rPr>
          <w:rFonts w:hint="eastAsia" w:ascii="仿宋_GB2312" w:eastAsia="仿宋_GB2312" w:cs="仿宋_GB2312"/>
          <w:color w:val="000000"/>
          <w:sz w:val="32"/>
          <w:szCs w:val="32"/>
        </w:rPr>
        <w:t>网络全覆盖。</w:t>
      </w:r>
    </w:p>
    <w:p>
      <w:pPr>
        <w:pStyle w:val="4"/>
        <w:numPr>
          <w:ilvl w:val="0"/>
          <w:numId w:val="15"/>
        </w:numPr>
        <w:spacing w:before="156" w:after="156" w:line="560" w:lineRule="exact"/>
        <w:ind w:left="426" w:hanging="426"/>
        <w:rPr>
          <w:rFonts w:cs="Times New Roman"/>
          <w:color w:val="000000"/>
        </w:rPr>
      </w:pPr>
      <w:bookmarkStart w:id="156" w:name="_Toc72935920"/>
      <w:r>
        <w:rPr>
          <w:rFonts w:hint="eastAsia" w:ascii="仿宋_GB2312" w:cs="楷体"/>
          <w:color w:val="000000"/>
        </w:rPr>
        <w:t>加快实现“智慧休宁”</w:t>
      </w:r>
      <w:bookmarkEnd w:id="15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全面推进“互联网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”平台建设，建立城市智慧发展模式，着力推进居民生活服务信息化，重点推进旅游、交通出行、教育培训等领域的智慧化建设。</w:t>
      </w:r>
    </w:p>
    <w:p>
      <w:pPr>
        <w:spacing w:line="560" w:lineRule="exact"/>
        <w:ind w:firstLine="642" w:firstLineChars="200"/>
        <w:rPr>
          <w:rFonts w:ascii="仿宋_GB2312" w:eastAsia="仿宋_GB2312"/>
          <w:color w:val="000000"/>
          <w:sz w:val="32"/>
          <w:szCs w:val="32"/>
        </w:rPr>
      </w:pPr>
      <w:bookmarkStart w:id="157" w:name="_Toc55190933"/>
      <w:bookmarkStart w:id="158" w:name="_Toc55209097"/>
      <w:bookmarkStart w:id="159" w:name="_Toc56416813"/>
      <w:r>
        <w:rPr>
          <w:rFonts w:hint="eastAsia" w:ascii="楷体" w:hAnsi="楷体" w:eastAsia="楷体" w:cs="楷体"/>
          <w:b/>
          <w:bCs/>
          <w:color w:val="000000"/>
          <w:sz w:val="32"/>
          <w:szCs w:val="32"/>
        </w:rPr>
        <w:t>推动政务平台整合</w:t>
      </w:r>
      <w:bookmarkEnd w:id="157"/>
      <w:bookmarkEnd w:id="158"/>
      <w:bookmarkEnd w:id="15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加快建设覆盖休宁的整体联动、部门协同、入口统一、一网办理的“互联网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务服务”体系。加快政务服务大厅智能化升级改造，推进“综合窗口”改革，实行“一窗受理”。加快各部门职能整合，明确责任清单，健全联合办公机制，加快推进政务服务“一网通办”和企业群众办事“只进一扇门”“最多跑一次”。推动“皖事通办”平台建设，汇聚、整合各部门各乡镇政务服务移动端。持续深化多终端政务服务协同办理，推行</w:t>
      </w:r>
      <w:r>
        <w:rPr>
          <w:rFonts w:ascii="仿宋_GB2312" w:eastAsia="仿宋_GB2312" w:cs="仿宋_GB2312"/>
          <w:color w:val="000000"/>
          <w:sz w:val="32"/>
          <w:szCs w:val="32"/>
        </w:rPr>
        <w:t>7</w:t>
      </w:r>
      <w:r>
        <w:rPr>
          <w:rFonts w:hint="eastAsia" w:ascii="仿宋_GB2312" w:eastAsia="仿宋_GB2312" w:cs="仿宋_GB2312"/>
          <w:color w:val="000000"/>
          <w:sz w:val="32"/>
          <w:szCs w:val="32"/>
        </w:rPr>
        <w:t>×</w:t>
      </w:r>
      <w:r>
        <w:rPr>
          <w:rFonts w:ascii="仿宋_GB2312" w:eastAsia="仿宋_GB2312" w:cs="仿宋_GB2312"/>
          <w:color w:val="000000"/>
          <w:sz w:val="32"/>
          <w:szCs w:val="32"/>
        </w:rPr>
        <w:t>24</w:t>
      </w:r>
      <w:r>
        <w:rPr>
          <w:rFonts w:hint="eastAsia" w:ascii="仿宋_GB2312" w:eastAsia="仿宋_GB2312" w:cs="仿宋_GB2312"/>
          <w:color w:val="000000"/>
          <w:sz w:val="32"/>
          <w:szCs w:val="32"/>
        </w:rPr>
        <w:t>小时不打烊“随时办”服务。打通业务审批系统和数据壁垒，实现市场主体身份在线“一次验证、全网通用”，持续深化“一网、一门、一次”改革，全面提升线上政务服务功能，拓宽“不见面”审批事项。构建用户精准画像，智能推送关联服务，提供精准化和个性化的政务服务。实施“安康码”便民应用工程，建设“安康码”服务应用体系。深化“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政务服务”改革，探索推出“慧办事、慧审批、慧监管”智慧政务新模式，推动县政务服务中心成为全市服务环境最优的“便民超市”。</w:t>
      </w:r>
      <w:bookmarkStart w:id="160" w:name="_Toc55190934"/>
      <w:bookmarkStart w:id="161" w:name="_Toc55209098"/>
      <w:r>
        <w:rPr>
          <w:rFonts w:hint="eastAsia" w:ascii="仿宋_GB2312" w:eastAsia="仿宋_GB2312" w:cs="仿宋_GB2312"/>
          <w:color w:val="000000"/>
          <w:sz w:val="32"/>
          <w:szCs w:val="32"/>
        </w:rPr>
        <w:t>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年，推动政务系统上云应上尽上，“安康码”申领人数应领尽领。</w:t>
      </w:r>
    </w:p>
    <w:bookmarkEnd w:id="160"/>
    <w:bookmarkEnd w:id="161"/>
    <w:p>
      <w:pPr>
        <w:spacing w:line="560" w:lineRule="exact"/>
        <w:ind w:firstLine="642" w:firstLineChars="200"/>
        <w:rPr>
          <w:rFonts w:ascii="仿宋_GB2312" w:eastAsia="仿宋_GB2312"/>
          <w:color w:val="000000"/>
          <w:sz w:val="32"/>
          <w:szCs w:val="32"/>
        </w:rPr>
      </w:pPr>
      <w:bookmarkStart w:id="162" w:name="_Toc56416814"/>
      <w:bookmarkStart w:id="163" w:name="_Toc55209089"/>
      <w:bookmarkStart w:id="164" w:name="_Toc55190925"/>
      <w:r>
        <w:rPr>
          <w:rFonts w:hint="eastAsia" w:ascii="楷体" w:hAnsi="楷体" w:eastAsia="楷体" w:cs="楷体"/>
          <w:b/>
          <w:bCs/>
          <w:color w:val="000000"/>
          <w:sz w:val="32"/>
          <w:szCs w:val="32"/>
        </w:rPr>
        <w:t>支持智慧城区创建</w:t>
      </w:r>
      <w:bookmarkEnd w:id="162"/>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支持大数据、物联网、区块链、人工智能等技术产业升级应用，加快建设数字新基建，充分释放城市基础设施效能，汇聚整合城市数据资源，建立基于大数据的智慧发展模式，实现对城市治理的精准分析、整体研判、协同指挥、科学治理，促进城市治理从数字化到智能化再到智慧化，让城市更聪明更智慧。推进智慧城管建设，实现省市县三级平台互联互通，完善市容环卫、市政公用等专项业务应用，逐步实现对生活垃圾、污水处理排放指标、城市地下管网运行等关键数据的实时监测和互联共享。加强横江社区智慧社区试点工作，全面推动智慧社区建设，完善公共配套服务设施，打造便利群众生活的“</w:t>
      </w:r>
      <w:r>
        <w:rPr>
          <w:rFonts w:ascii="仿宋_GB2312" w:eastAsia="仿宋_GB2312" w:cs="仿宋_GB2312"/>
          <w:color w:val="000000"/>
          <w:sz w:val="32"/>
          <w:szCs w:val="32"/>
        </w:rPr>
        <w:t>15</w:t>
      </w:r>
      <w:r>
        <w:rPr>
          <w:rFonts w:hint="eastAsia" w:ascii="仿宋_GB2312" w:eastAsia="仿宋_GB2312" w:cs="仿宋_GB2312"/>
          <w:color w:val="000000"/>
          <w:sz w:val="32"/>
          <w:szCs w:val="32"/>
        </w:rPr>
        <w:t>分钟生活圈”。</w:t>
      </w:r>
      <w:bookmarkEnd w:id="163"/>
      <w:bookmarkEnd w:id="164"/>
      <w:r>
        <w:rPr>
          <w:rFonts w:hint="eastAsia" w:ascii="仿宋_GB2312" w:eastAsia="仿宋_GB2312" w:cs="仿宋_GB2312"/>
          <w:color w:val="000000"/>
          <w:sz w:val="32"/>
          <w:szCs w:val="32"/>
        </w:rPr>
        <w:t>完善城市信息化专业服务体系，鼓励社会资本和专业机构探索市场化经营，探索政府与社会资本合作、政府购买服务等模式在智慧城市发展中的积极作用。</w:t>
      </w:r>
    </w:p>
    <w:p>
      <w:pPr>
        <w:spacing w:line="560" w:lineRule="exact"/>
        <w:ind w:firstLine="642" w:firstLineChars="200"/>
        <w:rPr>
          <w:rFonts w:ascii="仿宋_GB2312" w:eastAsia="仿宋_GB2312"/>
          <w:color w:val="000000"/>
          <w:sz w:val="32"/>
          <w:szCs w:val="32"/>
        </w:rPr>
      </w:pPr>
      <w:bookmarkStart w:id="165" w:name="_Toc55190953"/>
      <w:bookmarkStart w:id="166" w:name="_Toc55209117"/>
      <w:bookmarkStart w:id="167" w:name="_Toc56416815"/>
      <w:r>
        <w:rPr>
          <w:rFonts w:hint="eastAsia" w:ascii="楷体" w:hAnsi="楷体" w:eastAsia="楷体" w:cs="楷体"/>
          <w:b/>
          <w:bCs/>
          <w:color w:val="000000"/>
          <w:sz w:val="32"/>
          <w:szCs w:val="32"/>
        </w:rPr>
        <w:t>加快智慧教育</w:t>
      </w:r>
      <w:bookmarkEnd w:id="165"/>
      <w:bookmarkEnd w:id="166"/>
      <w:r>
        <w:rPr>
          <w:rFonts w:hint="eastAsia" w:ascii="楷体" w:hAnsi="楷体" w:eastAsia="楷体" w:cs="楷体"/>
          <w:b/>
          <w:bCs/>
          <w:color w:val="000000"/>
          <w:sz w:val="32"/>
          <w:szCs w:val="32"/>
        </w:rPr>
        <w:t>发展</w:t>
      </w:r>
      <w:bookmarkEnd w:id="167"/>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推进智慧教育创新发展，加快教育信息化建设。构建“</w:t>
      </w:r>
      <w:r>
        <w:rPr>
          <w:rFonts w:ascii="仿宋_GB2312" w:eastAsia="仿宋_GB2312" w:cs="仿宋_GB2312"/>
          <w:color w:val="000000"/>
          <w:sz w:val="32"/>
          <w:szCs w:val="32"/>
        </w:rPr>
        <w:t>5</w:t>
      </w:r>
      <w:r>
        <w:rPr>
          <w:rFonts w:hint="eastAsia" w:ascii="仿宋_GB2312" w:eastAsia="仿宋_GB2312" w:cs="仿宋_GB2312"/>
          <w:color w:val="000000"/>
          <w:sz w:val="32"/>
          <w:szCs w:val="32"/>
        </w:rPr>
        <w:t>项基本功能</w:t>
      </w:r>
      <w:r>
        <w:rPr>
          <w:rFonts w:ascii="仿宋_GB2312" w:eastAsia="仿宋_GB2312" w:cs="仿宋_GB2312"/>
          <w:color w:val="000000"/>
          <w:sz w:val="32"/>
          <w:szCs w:val="32"/>
        </w:rPr>
        <w:t>+2</w:t>
      </w:r>
      <w:r>
        <w:rPr>
          <w:rFonts w:hint="eastAsia" w:ascii="仿宋_GB2312" w:eastAsia="仿宋_GB2312" w:cs="仿宋_GB2312"/>
          <w:color w:val="000000"/>
          <w:sz w:val="32"/>
          <w:szCs w:val="32"/>
        </w:rPr>
        <w:t>项支撑条件”的智慧学校结构，按照“重点农村，试点先行，分类推进”的原则，在休宁县中小学建设智慧学校，构建“互联网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教育”支撑服务平台，深入推进“三通两平台”建设与应用。到</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年，实现教学点智慧课堂全覆盖，乡村普通中小学全部达到智慧学校建设要求，城镇中小学基本建成智慧学校。到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年，全面实现“三全两高一大”的发展目标（即教学应用覆盖全体教师、学习应用覆盖全体适龄学生、数字校园建设覆盖全体学校，信息化应用水平和师生信息素养普遍提高，建成“互联网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教育”大平台）。</w:t>
      </w:r>
    </w:p>
    <w:p>
      <w:pPr>
        <w:spacing w:line="560" w:lineRule="exact"/>
        <w:ind w:firstLine="642" w:firstLineChars="200"/>
        <w:rPr>
          <w:rFonts w:ascii="仿宋_GB2312" w:eastAsia="仿宋_GB2312"/>
          <w:color w:val="000000"/>
          <w:sz w:val="32"/>
          <w:szCs w:val="32"/>
        </w:rPr>
      </w:pPr>
      <w:bookmarkStart w:id="168" w:name="_Toc56416816"/>
      <w:r>
        <w:rPr>
          <w:rFonts w:hint="eastAsia" w:ascii="楷体" w:hAnsi="楷体" w:eastAsia="楷体" w:cs="楷体"/>
          <w:b/>
          <w:bCs/>
          <w:color w:val="000000"/>
          <w:sz w:val="32"/>
          <w:szCs w:val="32"/>
        </w:rPr>
        <w:t>提升智慧旅游水平</w:t>
      </w:r>
      <w:bookmarkEnd w:id="16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围绕打造“智慧旅游”，推进智慧</w:t>
      </w:r>
      <w:r>
        <w:rPr>
          <w:rFonts w:ascii="仿宋_GB2312" w:eastAsia="仿宋_GB2312" w:cs="仿宋_GB2312"/>
          <w:color w:val="000000"/>
          <w:sz w:val="32"/>
          <w:szCs w:val="32"/>
        </w:rPr>
        <w:t>A</w:t>
      </w:r>
      <w:r>
        <w:rPr>
          <w:rFonts w:hint="eastAsia" w:ascii="仿宋_GB2312" w:eastAsia="仿宋_GB2312" w:cs="仿宋_GB2312"/>
          <w:color w:val="000000"/>
          <w:sz w:val="32"/>
          <w:szCs w:val="32"/>
        </w:rPr>
        <w:t>级旅游景区建设，加大“互联网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旅游”推进力度，推动旅游信息系统智慧化建设，完善旅游信息咨询中心等旅游服务载体，拓宽信息服务渠道、扩大信息覆盖面，提升旅游信息采集及发布效率，建设立体迅捷和智慧化旅游集散服务体系。推进智慧化系统控制景区客流、安全监管以及景观资源保护。完善旅游景区点基础设施建设，公共热点区域和</w:t>
      </w:r>
      <w:r>
        <w:rPr>
          <w:rFonts w:ascii="仿宋_GB2312" w:eastAsia="仿宋_GB2312" w:cs="仿宋_GB2312"/>
          <w:color w:val="000000"/>
          <w:sz w:val="32"/>
          <w:szCs w:val="32"/>
        </w:rPr>
        <w:t>3A</w:t>
      </w:r>
      <w:r>
        <w:rPr>
          <w:rFonts w:hint="eastAsia" w:ascii="仿宋_GB2312" w:eastAsia="仿宋_GB2312" w:cs="仿宋_GB2312"/>
          <w:color w:val="000000"/>
          <w:sz w:val="32"/>
          <w:szCs w:val="32"/>
        </w:rPr>
        <w:t>级以上旅游景区、乡村旅游重点村基本实现无线网络覆盖，进行智慧旅游试点、旅游物联网设施建设、发展在线旅游新业态，推动“旅游</w:t>
      </w:r>
      <w:r>
        <w:rPr>
          <w:rFonts w:ascii="仿宋_GB2312" w:eastAsia="仿宋_GB2312" w:cs="仿宋_GB2312"/>
          <w:color w:val="000000"/>
          <w:sz w:val="32"/>
          <w:szCs w:val="32"/>
        </w:rPr>
        <w:t>+</w:t>
      </w:r>
      <w:r>
        <w:rPr>
          <w:rFonts w:hint="eastAsia" w:ascii="仿宋_GB2312" w:eastAsia="仿宋_GB2312" w:cs="仿宋_GB2312"/>
          <w:color w:val="000000"/>
          <w:sz w:val="32"/>
          <w:szCs w:val="32"/>
        </w:rPr>
        <w:t>互联网”跨产业融合，创新智慧旅游平台，促进旅游</w:t>
      </w:r>
      <w:r>
        <w:rPr>
          <w:rFonts w:ascii="仿宋_GB2312" w:eastAsia="仿宋_GB2312" w:cs="仿宋_GB2312"/>
          <w:color w:val="000000"/>
          <w:sz w:val="32"/>
          <w:szCs w:val="32"/>
        </w:rPr>
        <w:t>+VR</w:t>
      </w:r>
      <w:r>
        <w:rPr>
          <w:rFonts w:hint="eastAsia" w:ascii="仿宋_GB2312" w:eastAsia="仿宋_GB2312" w:cs="仿宋_GB2312"/>
          <w:color w:val="000000"/>
          <w:sz w:val="32"/>
          <w:szCs w:val="32"/>
        </w:rPr>
        <w:t>发展，提升游客智慧旅游体验品质。到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年，推动智慧</w:t>
      </w:r>
      <w:r>
        <w:rPr>
          <w:rFonts w:ascii="仿宋_GB2312" w:eastAsia="仿宋_GB2312" w:cs="仿宋_GB2312"/>
          <w:color w:val="000000"/>
          <w:sz w:val="32"/>
          <w:szCs w:val="32"/>
        </w:rPr>
        <w:t>A</w:t>
      </w:r>
      <w:r>
        <w:rPr>
          <w:rFonts w:hint="eastAsia" w:ascii="仿宋_GB2312" w:eastAsia="仿宋_GB2312" w:cs="仿宋_GB2312"/>
          <w:color w:val="000000"/>
          <w:sz w:val="32"/>
          <w:szCs w:val="32"/>
        </w:rPr>
        <w:t>级旅游景区达标率</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0"/>
          <w:szCs w:val="30"/>
        </w:rPr>
      </w:pPr>
      <w:bookmarkStart w:id="169" w:name="_Toc56416817"/>
      <w:r>
        <w:rPr>
          <w:rFonts w:hint="eastAsia" w:ascii="楷体" w:hAnsi="楷体" w:eastAsia="楷体" w:cs="楷体"/>
          <w:b/>
          <w:bCs/>
          <w:color w:val="000000"/>
          <w:sz w:val="32"/>
          <w:szCs w:val="32"/>
        </w:rPr>
        <w:t>推动智慧交通建设</w:t>
      </w:r>
      <w:bookmarkEnd w:id="16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打造整合高效的智慧交通基础设施，推进先进技术行业应用，包括</w:t>
      </w:r>
      <w:r>
        <w:rPr>
          <w:rFonts w:ascii="仿宋_GB2312" w:eastAsia="仿宋_GB2312" w:cs="仿宋_GB2312"/>
          <w:color w:val="000000"/>
          <w:sz w:val="32"/>
          <w:szCs w:val="32"/>
        </w:rPr>
        <w:t>5G</w:t>
      </w:r>
      <w:r>
        <w:rPr>
          <w:rFonts w:hint="eastAsia" w:ascii="仿宋_GB2312" w:eastAsia="仿宋_GB2312" w:cs="仿宋_GB2312"/>
          <w:color w:val="000000"/>
          <w:sz w:val="32"/>
          <w:szCs w:val="32"/>
        </w:rPr>
        <w:t>、数据中心、人工智能（如智能驾驶），建设智慧公路、智慧邮政、智慧枢纽、智慧公交等。加大公路信息资源整合力度，提升管理水平、服务能力，加快公路运行监测体系建设，建成智慧公路综合管理平台，提升对二线公路运行的智慧化监管能力。提升公交智能化建设水平，加快智能化电子公交站牌建设，完善城市交通高清视频监控点，稳步推行联网治超平台项目。完善交通数据采集系统，扩大系统规模，加强数据资源平台整合，合并多系统项目库数据，促进各系统间互通互容。</w:t>
      </w:r>
    </w:p>
    <w:p>
      <w:pPr>
        <w:pStyle w:val="3"/>
        <w:numPr>
          <w:ilvl w:val="0"/>
          <w:numId w:val="6"/>
        </w:numPr>
        <w:spacing w:before="156" w:after="156" w:line="560" w:lineRule="exact"/>
        <w:ind w:left="426" w:hanging="426"/>
        <w:rPr>
          <w:rFonts w:ascii="黑体" w:cs="Times New Roman"/>
          <w:color w:val="000000"/>
        </w:rPr>
      </w:pPr>
      <w:bookmarkStart w:id="170" w:name="_Toc72935921"/>
      <w:r>
        <w:rPr>
          <w:rFonts w:hint="eastAsia" w:ascii="黑体" w:hAnsi="黑体" w:cs="黑体"/>
          <w:color w:val="000000"/>
        </w:rPr>
        <w:t>全面提高人民群众获得感幸福感</w:t>
      </w:r>
      <w:bookmarkEnd w:id="170"/>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坚持以人为本、民生优先，加快推进以全面改善民生为重点的社会事业建设，提高教育、医疗等基本公共服务供给水平，提升就业质量，完善社会保障，努力构建和谐美丽新休宁。</w:t>
      </w:r>
    </w:p>
    <w:p>
      <w:pPr>
        <w:pStyle w:val="4"/>
        <w:numPr>
          <w:ilvl w:val="0"/>
          <w:numId w:val="16"/>
        </w:numPr>
        <w:spacing w:before="156" w:after="156" w:line="560" w:lineRule="exact"/>
        <w:ind w:left="426"/>
        <w:rPr>
          <w:rFonts w:cs="Times New Roman"/>
          <w:color w:val="000000"/>
        </w:rPr>
      </w:pPr>
      <w:bookmarkStart w:id="171" w:name="_Toc72935922"/>
      <w:r>
        <w:rPr>
          <w:rFonts w:hint="eastAsia" w:cs="楷体"/>
          <w:color w:val="000000"/>
        </w:rPr>
        <w:t>保障充分就业和居民增收</w:t>
      </w:r>
      <w:bookmarkEnd w:id="171"/>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坚持就业优先战略，深入实施“创业休宁”行动，拓宽城乡居民增收渠道，强化全方位就业服务。</w:t>
      </w:r>
    </w:p>
    <w:p>
      <w:pPr>
        <w:spacing w:line="560" w:lineRule="exact"/>
        <w:ind w:firstLine="642" w:firstLineChars="200"/>
        <w:rPr>
          <w:rFonts w:ascii="仿宋_GB2312" w:eastAsia="仿宋_GB2312"/>
          <w:color w:val="000000"/>
          <w:sz w:val="32"/>
          <w:szCs w:val="32"/>
        </w:rPr>
      </w:pPr>
      <w:bookmarkStart w:id="172" w:name="_Toc55190949"/>
      <w:bookmarkStart w:id="173" w:name="_Toc56416838"/>
      <w:bookmarkStart w:id="174" w:name="_Toc55209113"/>
      <w:r>
        <w:rPr>
          <w:rFonts w:hint="eastAsia" w:ascii="楷体" w:hAnsi="楷体" w:eastAsia="楷体" w:cs="楷体"/>
          <w:b/>
          <w:bCs/>
          <w:color w:val="000000"/>
          <w:sz w:val="32"/>
          <w:szCs w:val="32"/>
        </w:rPr>
        <w:t>坚持就业优先战略</w:t>
      </w:r>
      <w:bookmarkEnd w:id="172"/>
      <w:bookmarkEnd w:id="173"/>
      <w:bookmarkEnd w:id="17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落实就业优先战略和更加积极的就业政策，依托“阳光就业”网上服务平台，提供全方位公共就业服务。建立健全就业创业服务体系，以高校毕业生、返乡农民工、退役军人、就业困难人员为重点，稳定重点人群就业，多渠道促进就业。推广农业农村基础设施建设五个领域以工代赈促就业。通过产业转型升级拓展就业空间，打造新的就业增长点，创造更多高质量就业岗位。开展新技工系统培养、加强职业技能培训，健全技能人才多元评价体系。落实创业担保贷款等政策，推动大众创业，完善职业培训、就业服务、劳动维权“三位一体”就业服务机制。健全就业援助制度，积极开展托底安置，确保就业困难人员和零就业家庭动态“清零”。实施纾困惠企政策，保护和激发市场主体活力，努力以创业带就业，确保居民就业稳定。健全劳动关系协调机制，维护职工合法权益，建立和谐劳动关系。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年，力争新增就业</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万人以上，城镇调查失业率控制在</w:t>
      </w:r>
      <w:r>
        <w:rPr>
          <w:rFonts w:ascii="仿宋_GB2312" w:eastAsia="仿宋_GB2312" w:cs="仿宋_GB2312"/>
          <w:color w:val="000000"/>
          <w:sz w:val="32"/>
          <w:szCs w:val="32"/>
        </w:rPr>
        <w:t>5.5%</w:t>
      </w:r>
      <w:r>
        <w:rPr>
          <w:rFonts w:hint="eastAsia" w:ascii="仿宋_GB2312" w:eastAsia="仿宋_GB2312" w:cs="仿宋_GB2312"/>
          <w:color w:val="000000"/>
          <w:sz w:val="32"/>
          <w:szCs w:val="32"/>
        </w:rPr>
        <w:t>以内。</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构建农民增收长效机制。</w:t>
      </w:r>
      <w:r>
        <w:rPr>
          <w:rFonts w:hint="eastAsia" w:ascii="仿宋_GB2312" w:eastAsia="仿宋_GB2312" w:cs="仿宋_GB2312"/>
          <w:color w:val="000000"/>
          <w:sz w:val="32"/>
          <w:szCs w:val="32"/>
        </w:rPr>
        <w:t>鼓励农民调整优化种养结构，努力提高农业劳动生产率和综合效益，增加农民经营性收入。加强与用工企业的合作协作，引导农村劳动力就地就近转移就业，支持农民工返乡创业，提高农民工资性收入。完善支农惠农政策，扩大和提高涉农补贴范围和标准，增加农民转移性收入。探索农村土地承包经营权和宅基地使用权财产化的形式，提高农民财产性收入。“十四五”期间，农村常住居民人均可支配收入年均增速达</w:t>
      </w:r>
      <w:r>
        <w:rPr>
          <w:rFonts w:ascii="仿宋_GB2312" w:eastAsia="仿宋_GB2312" w:cs="仿宋_GB2312"/>
          <w:color w:val="000000"/>
          <w:sz w:val="32"/>
          <w:szCs w:val="32"/>
        </w:rPr>
        <w:t>8.5%</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提高城镇居民收入。</w:t>
      </w:r>
      <w:r>
        <w:rPr>
          <w:rFonts w:hint="eastAsia" w:ascii="仿宋_GB2312" w:eastAsia="仿宋_GB2312" w:cs="仿宋_GB2312"/>
          <w:color w:val="000000"/>
          <w:sz w:val="32"/>
          <w:szCs w:val="32"/>
        </w:rPr>
        <w:t>完善和落实职工工资决定机制、正常增长机制和支付保障机制，逐步提高最低工资标准。健全工资水平决定、正常增长和支付保障机制，持续扩大企业工资集体协商覆盖面，完善工资指导线制度和最低工资增长机制。完善公务员工资正常调整机制。完善事业单位工资分配制度。扩大居民投资渠道，努力增加居民财产性收入。加大社会保障投入，较大幅度提高居民转移性收入。“十四五”期间，城镇常住居民人均可支配收入年均增速达</w:t>
      </w:r>
      <w:r>
        <w:rPr>
          <w:rFonts w:ascii="仿宋_GB2312" w:eastAsia="仿宋_GB2312" w:cs="仿宋_GB2312"/>
          <w:color w:val="000000"/>
          <w:sz w:val="32"/>
          <w:szCs w:val="32"/>
        </w:rPr>
        <w:t>8%</w:t>
      </w:r>
      <w:r>
        <w:rPr>
          <w:rFonts w:hint="eastAsia" w:ascii="仿宋_GB2312" w:eastAsia="仿宋_GB2312" w:cs="仿宋_GB2312"/>
          <w:color w:val="000000"/>
          <w:sz w:val="32"/>
          <w:szCs w:val="32"/>
        </w:rPr>
        <w:t>。</w:t>
      </w:r>
    </w:p>
    <w:p>
      <w:pPr>
        <w:spacing w:line="560" w:lineRule="exact"/>
        <w:ind w:firstLine="600" w:firstLineChars="200"/>
        <w:rPr>
          <w:rFonts w:ascii="仿宋_GB2312" w:eastAsia="仿宋_GB2312"/>
          <w:color w:val="000000"/>
          <w:sz w:val="30"/>
          <w:szCs w:val="30"/>
        </w:rPr>
      </w:pPr>
    </w:p>
    <w:p>
      <w:pPr>
        <w:pStyle w:val="4"/>
        <w:numPr>
          <w:ilvl w:val="0"/>
          <w:numId w:val="16"/>
        </w:numPr>
        <w:spacing w:before="156" w:after="156" w:line="560" w:lineRule="exact"/>
        <w:ind w:left="426"/>
        <w:rPr>
          <w:rFonts w:cs="Times New Roman"/>
          <w:color w:val="000000"/>
        </w:rPr>
      </w:pPr>
      <w:bookmarkStart w:id="175" w:name="_Toc72935923"/>
      <w:r>
        <w:rPr>
          <w:rFonts w:hint="eastAsia" w:cs="楷体"/>
          <w:color w:val="000000"/>
        </w:rPr>
        <w:t>提升教育质量和水平</w:t>
      </w:r>
      <w:bookmarkEnd w:id="17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加快基本公共教育均衡发展，创新理念、整合资源，以“教育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智能”为手段，提升教育信息化水平，推动教育发展项目实施，加强校长和教师队伍建设，增强“三全育人”实效，深化思政课改革创新，抓实德育铸魂、智育提质、体教融合、美育熏陶、劳动促进行动，重视青少年心理健康教育，进一步保障特殊群体受教育权利，强化民办学校规范管理，全面推进休宁教育事业现代化。</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推动学前教育普及普惠发展。</w:t>
      </w:r>
      <w:r>
        <w:rPr>
          <w:rFonts w:hint="eastAsia" w:ascii="仿宋_GB2312" w:eastAsia="仿宋_GB2312" w:cs="仿宋_GB2312"/>
          <w:color w:val="000000"/>
          <w:sz w:val="32"/>
          <w:szCs w:val="32"/>
        </w:rPr>
        <w:t>扩大学前教育资源供给，推动实施学前教育行动计划，坚持公办民办并举，优化乡镇幼儿园布局，推动城北、城东、开发区幼儿园建设，实现乡镇幼儿园全覆盖，深入推进普惠性幼儿园标准化建设，建立健全公办园保教费收费标准和普惠性民办园最高收费标准动态调整机制，规范引导社会力量加大学前教育资源供给。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年，休宁县学前三年毛入园率达</w:t>
      </w:r>
      <w:r>
        <w:rPr>
          <w:rFonts w:ascii="仿宋_GB2312" w:eastAsia="仿宋_GB2312" w:cs="仿宋_GB2312"/>
          <w:color w:val="000000"/>
          <w:sz w:val="32"/>
          <w:szCs w:val="32"/>
        </w:rPr>
        <w:t>95</w:t>
      </w:r>
      <w:r>
        <w:rPr>
          <w:rFonts w:ascii="仿宋_GB2312" w:eastAsia="仿宋_GB2312"/>
          <w:color w:val="000000"/>
          <w:sz w:val="32"/>
          <w:szCs w:val="32"/>
        </w:rPr>
        <w:drawing>
          <wp:inline distT="0" distB="0" distL="0" distR="0">
            <wp:extent cx="76200" cy="152400"/>
            <wp:effectExtent l="1905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2" cstate="print"/>
                    <a:srcRect/>
                    <a:stretch>
                      <a:fillRect/>
                    </a:stretch>
                  </pic:blipFill>
                  <pic:spPr>
                    <a:xfrm>
                      <a:off x="0" y="0"/>
                      <a:ext cx="76200" cy="152400"/>
                    </a:xfrm>
                    <a:prstGeom prst="rect">
                      <a:avLst/>
                    </a:prstGeom>
                    <a:noFill/>
                    <a:ln w="9525">
                      <a:noFill/>
                      <a:miter lim="800000"/>
                      <a:headEnd/>
                      <a:tailEnd/>
                    </a:ln>
                  </pic:spPr>
                </pic:pic>
              </a:graphicData>
            </a:graphic>
          </wp:inline>
        </w:drawing>
      </w:r>
      <w:r>
        <w:rPr>
          <w:rFonts w:hint="eastAsia" w:ascii="仿宋_GB2312" w:eastAsia="仿宋_GB2312" w:cs="仿宋_GB2312"/>
          <w:color w:val="000000"/>
          <w:sz w:val="32"/>
          <w:szCs w:val="32"/>
        </w:rPr>
        <w:t>，普惠性幼儿园覆盖率达到</w:t>
      </w:r>
      <w:r>
        <w:rPr>
          <w:rFonts w:ascii="仿宋_GB2312" w:eastAsia="仿宋_GB2312" w:cs="仿宋_GB2312"/>
          <w:color w:val="000000"/>
          <w:sz w:val="32"/>
          <w:szCs w:val="32"/>
        </w:rPr>
        <w:t>85</w:t>
      </w:r>
      <w:r>
        <w:rPr>
          <w:rFonts w:ascii="仿宋_GB2312" w:eastAsia="仿宋_GB2312"/>
          <w:color w:val="000000"/>
          <w:sz w:val="32"/>
          <w:szCs w:val="32"/>
        </w:rPr>
        <w:drawing>
          <wp:inline distT="0" distB="0" distL="0" distR="0">
            <wp:extent cx="76200" cy="152400"/>
            <wp:effectExtent l="1905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2" cstate="print"/>
                    <a:srcRect/>
                    <a:stretch>
                      <a:fillRect/>
                    </a:stretch>
                  </pic:blipFill>
                  <pic:spPr>
                    <a:xfrm>
                      <a:off x="0" y="0"/>
                      <a:ext cx="76200" cy="152400"/>
                    </a:xfrm>
                    <a:prstGeom prst="rect">
                      <a:avLst/>
                    </a:prstGeom>
                    <a:noFill/>
                    <a:ln w="9525">
                      <a:noFill/>
                      <a:miter lim="800000"/>
                      <a:headEnd/>
                      <a:tailEnd/>
                    </a:ln>
                  </pic:spPr>
                </pic:pic>
              </a:graphicData>
            </a:graphic>
          </wp:inline>
        </w:drawing>
      </w:r>
      <w:r>
        <w:rPr>
          <w:rFonts w:hint="eastAsia" w:ascii="仿宋_GB2312" w:eastAsia="仿宋_GB2312" w:cs="仿宋_GB2312"/>
          <w:color w:val="000000"/>
          <w:sz w:val="32"/>
          <w:szCs w:val="32"/>
        </w:rPr>
        <w:t>以上，公办园在园幼儿占比超过</w:t>
      </w:r>
      <w:r>
        <w:rPr>
          <w:rFonts w:ascii="仿宋_GB2312" w:eastAsia="仿宋_GB2312" w:cs="仿宋_GB2312"/>
          <w:color w:val="000000"/>
          <w:sz w:val="32"/>
          <w:szCs w:val="32"/>
        </w:rPr>
        <w:t>55</w:t>
      </w:r>
      <w:r>
        <w:rPr>
          <w:rFonts w:ascii="仿宋_GB2312" w:eastAsia="仿宋_GB2312"/>
          <w:color w:val="000000"/>
          <w:sz w:val="32"/>
          <w:szCs w:val="32"/>
        </w:rPr>
        <w:drawing>
          <wp:inline distT="0" distB="0" distL="0" distR="0">
            <wp:extent cx="76200" cy="152400"/>
            <wp:effectExtent l="1905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12" cstate="print"/>
                    <a:srcRect/>
                    <a:stretch>
                      <a:fillRect/>
                    </a:stretch>
                  </pic:blipFill>
                  <pic:spPr>
                    <a:xfrm>
                      <a:off x="0" y="0"/>
                      <a:ext cx="76200" cy="152400"/>
                    </a:xfrm>
                    <a:prstGeom prst="rect">
                      <a:avLst/>
                    </a:prstGeom>
                    <a:noFill/>
                    <a:ln w="9525">
                      <a:noFill/>
                      <a:miter lim="800000"/>
                      <a:headEnd/>
                      <a:tailEnd/>
                    </a:ln>
                  </pic:spPr>
                </pic:pic>
              </a:graphicData>
            </a:graphic>
          </wp:inline>
        </w:drawing>
      </w:r>
      <w:r>
        <w:rPr>
          <w:rFonts w:hint="eastAsia" w:ascii="仿宋_GB2312" w:eastAsia="仿宋_GB2312" w:cs="仿宋_GB2312"/>
          <w:color w:val="000000"/>
          <w:sz w:val="32"/>
          <w:szCs w:val="32"/>
        </w:rPr>
        <w:t>，按期实现“无证园”清零。</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推进义务教育优质均衡发展。</w:t>
      </w:r>
      <w:r>
        <w:rPr>
          <w:rFonts w:hint="eastAsia" w:ascii="仿宋_GB2312" w:eastAsia="仿宋_GB2312" w:cs="仿宋_GB2312"/>
          <w:color w:val="000000"/>
          <w:sz w:val="32"/>
          <w:szCs w:val="32"/>
        </w:rPr>
        <w:t>加快城乡义务教育一体化发展，合理布局城镇学校建设，推动城区新建一所小学，推进教育信息化建设，加强乡村小规模学校和乡镇寄宿制学校建设，保障城乡留守儿童寄宿需求，改善乡村学校办学条件。坚持义务教育免试就近入学。落实立德树人根本任务，有效整合校内外资源，探索实施义务教育延时服务工作。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年，通过省级义务教育优质均衡县达标验收。</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加快高中教育优质特色发展。</w:t>
      </w:r>
      <w:r>
        <w:rPr>
          <w:rFonts w:hint="eastAsia" w:ascii="仿宋_GB2312" w:eastAsia="仿宋_GB2312" w:cs="仿宋_GB2312"/>
          <w:color w:val="000000"/>
          <w:sz w:val="32"/>
          <w:szCs w:val="32"/>
        </w:rPr>
        <w:t>加强高中教育配套设施建设，推进新高考综合改革。落实普通高中生均公用经费标准和生均财政拨款标准，构建公办普通高中教育经费投入保障机制。“十四五”期间，休宁县高中阶段教育毛入学率保持在</w:t>
      </w:r>
      <w:r>
        <w:rPr>
          <w:rFonts w:ascii="仿宋_GB2312" w:eastAsia="仿宋_GB2312" w:cs="仿宋_GB2312"/>
          <w:color w:val="000000"/>
          <w:sz w:val="32"/>
          <w:szCs w:val="32"/>
        </w:rPr>
        <w:t>95%</w:t>
      </w:r>
      <w:r>
        <w:rPr>
          <w:rFonts w:hint="eastAsia" w:ascii="仿宋_GB2312" w:eastAsia="仿宋_GB2312" w:cs="仿宋_GB2312"/>
          <w:color w:val="000000"/>
          <w:sz w:val="32"/>
          <w:szCs w:val="32"/>
        </w:rPr>
        <w:t>以上，</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年达到</w:t>
      </w:r>
      <w:r>
        <w:rPr>
          <w:rFonts w:ascii="仿宋_GB2312" w:eastAsia="仿宋_GB2312" w:cs="仿宋_GB2312"/>
          <w:color w:val="000000"/>
          <w:sz w:val="32"/>
          <w:szCs w:val="32"/>
        </w:rPr>
        <w:t>97%</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提升职业教育质量。</w:t>
      </w:r>
      <w:r>
        <w:rPr>
          <w:rFonts w:hint="eastAsia" w:ascii="仿宋_GB2312" w:eastAsia="仿宋_GB2312" w:cs="仿宋_GB2312"/>
          <w:color w:val="000000"/>
          <w:sz w:val="32"/>
          <w:szCs w:val="32"/>
        </w:rPr>
        <w:t>完善产业人才培养培训新体系，加快推动黄山健康职业学院二期工程建设，全面提升黄山健康职业学院办学水平，支持黄山健康职业学院升格为本科层次职业学校。加快推进休宁徽匠学校建设，提升特色学科水平，通过省级</w:t>
      </w:r>
      <w:r>
        <w:rPr>
          <w:rFonts w:ascii="仿宋_GB2312" w:eastAsia="仿宋_GB2312" w:cs="仿宋_GB2312"/>
          <w:color w:val="000000"/>
          <w:sz w:val="32"/>
          <w:szCs w:val="32"/>
        </w:rPr>
        <w:t>B</w:t>
      </w:r>
      <w:r>
        <w:rPr>
          <w:rFonts w:hint="eastAsia" w:ascii="仿宋_GB2312" w:eastAsia="仿宋_GB2312" w:cs="仿宋_GB2312"/>
          <w:color w:val="000000"/>
          <w:sz w:val="32"/>
          <w:szCs w:val="32"/>
        </w:rPr>
        <w:t>类学校评估达标验收，扩大在校学生规模，形成休宁县职业教育稳定发展的基础力量。“十四五”期间，推动中等职业教育毕业生就业升学率达</w:t>
      </w:r>
      <w:r>
        <w:rPr>
          <w:rFonts w:ascii="仿宋_GB2312" w:eastAsia="仿宋_GB2312" w:cs="仿宋_GB2312"/>
          <w:color w:val="000000"/>
          <w:sz w:val="32"/>
          <w:szCs w:val="32"/>
        </w:rPr>
        <w:t>99%</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推动新时代教师队伍建设工程。</w:t>
      </w:r>
      <w:r>
        <w:rPr>
          <w:rFonts w:hint="eastAsia" w:ascii="仿宋_GB2312" w:eastAsia="仿宋_GB2312" w:cs="仿宋_GB2312"/>
          <w:color w:val="000000"/>
          <w:sz w:val="32"/>
          <w:szCs w:val="32"/>
        </w:rPr>
        <w:t>实施师德师风建设工程，挖掘休宁优秀传统文化、红色文化资源，建设一批师德教育基地。弘扬“最美教师”和“十佳班主任”的先进事迹与高尚品德，塑造教师良好社会形象。提高教师教学水平。落实“国培计划”“省培计划”，新教师岗前培训率达到</w:t>
      </w:r>
      <w:r>
        <w:rPr>
          <w:rFonts w:ascii="仿宋_GB2312" w:eastAsia="仿宋_GB2312" w:cs="仿宋_GB2312"/>
          <w:color w:val="000000"/>
          <w:sz w:val="32"/>
          <w:szCs w:val="32"/>
        </w:rPr>
        <w:t xml:space="preserve"> 100%</w:t>
      </w:r>
      <w:r>
        <w:rPr>
          <w:rFonts w:hint="eastAsia" w:ascii="仿宋_GB2312" w:eastAsia="仿宋_GB2312" w:cs="仿宋_GB2312"/>
          <w:color w:val="000000"/>
          <w:sz w:val="32"/>
          <w:szCs w:val="32"/>
        </w:rPr>
        <w:t>，教师继续教育覆盖率达</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以上。深化教师管理制度改革。落实城乡统一的中小学教职工编制标准，全面推进中小学教师“县管校聘”和无校籍管理。施行校长职级制改革，加强校长、教师队伍建设，建立开放式、多层次教师信息技术能力培训体系，促进教师教育理念转变，提升信息化应用技能，实现“管理人员懂、学科教师会、技术骨干精”的培训目标，为智慧学校建设提供稳定的人才队伍支撑。</w:t>
      </w:r>
    </w:p>
    <w:p>
      <w:pPr>
        <w:pStyle w:val="4"/>
        <w:numPr>
          <w:ilvl w:val="0"/>
          <w:numId w:val="16"/>
        </w:numPr>
        <w:spacing w:before="156" w:after="156" w:line="560" w:lineRule="exact"/>
        <w:ind w:left="426"/>
        <w:rPr>
          <w:rFonts w:cs="Times New Roman"/>
          <w:color w:val="000000"/>
        </w:rPr>
      </w:pPr>
      <w:bookmarkStart w:id="176" w:name="_Toc72935924"/>
      <w:r>
        <w:rPr>
          <w:rFonts w:hint="eastAsia" w:cs="楷体"/>
          <w:color w:val="000000"/>
        </w:rPr>
        <w:t>持续推进健康休宁建设</w:t>
      </w:r>
      <w:bookmarkEnd w:id="17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加强公共卫生体系建设，构建功能齐全、结构合理的医疗卫生服务体系，提高应对突发重大公共卫生事件的能力和水平，打造更高水平“健康休宁”。</w:t>
      </w:r>
    </w:p>
    <w:p>
      <w:pPr>
        <w:spacing w:line="560" w:lineRule="exact"/>
        <w:ind w:firstLine="642" w:firstLineChars="200"/>
        <w:rPr>
          <w:rFonts w:ascii="仿宋_GB2312" w:eastAsia="仿宋_GB2312"/>
          <w:color w:val="000000"/>
          <w:sz w:val="32"/>
          <w:szCs w:val="32"/>
        </w:rPr>
      </w:pPr>
      <w:bookmarkStart w:id="177" w:name="_Toc56416844"/>
      <w:bookmarkStart w:id="178" w:name="_Toc55190956"/>
      <w:bookmarkStart w:id="179" w:name="_Toc55209120"/>
      <w:r>
        <w:rPr>
          <w:rFonts w:hint="eastAsia" w:ascii="楷体" w:hAnsi="楷体" w:eastAsia="楷体" w:cs="楷体"/>
          <w:b/>
          <w:bCs/>
          <w:color w:val="000000"/>
          <w:sz w:val="32"/>
          <w:szCs w:val="32"/>
        </w:rPr>
        <w:t>提高医疗和公共卫生服务能力</w:t>
      </w:r>
      <w:bookmarkEnd w:id="177"/>
      <w:bookmarkEnd w:id="178"/>
      <w:bookmarkEnd w:id="17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持续深化综合医药卫生体制改革，持续推进紧密型县域医共体建设，建立健全紧密型医共体内部运行管理体系，积极融入长三角区域医联体建设。加强对乡、村两级医疗机构帮扶，健全县级医院与基层医疗机构的双向转诊机制，实行分级诊疗，建立县、乡、村一体化公共卫生服务和医疗协作网络，完善县与乡村两级医疗机构组建“</w:t>
      </w:r>
      <w:r>
        <w:rPr>
          <w:rFonts w:ascii="仿宋_GB2312" w:eastAsia="仿宋_GB2312" w:cs="仿宋_GB2312"/>
          <w:color w:val="000000"/>
          <w:sz w:val="32"/>
          <w:szCs w:val="32"/>
        </w:rPr>
        <w:t>1+1+1</w:t>
      </w:r>
      <w:r>
        <w:rPr>
          <w:rFonts w:hint="eastAsia" w:ascii="仿宋_GB2312" w:eastAsia="仿宋_GB2312" w:cs="仿宋_GB2312"/>
          <w:color w:val="000000"/>
          <w:sz w:val="32"/>
          <w:szCs w:val="32"/>
        </w:rPr>
        <w:t>”家庭医生服务团队。有序推进“两卡制”实施。完善基层医疗服务模式，发展远程医疗。加强医疗质量监管，完善纠纷调解机制，构建和谐医患关系。完善基本药物制度，健全药品供应保障机制。加快一批医疗设施项目建设，优化县级医院建设整体规划布局。加强“智慧医院”建设，夯实智医助理工作，完善远程医疗会诊系统，搭建远程会诊平台，实现医疗资源共享。坚持中西医并重，建立健全中医药发展政策支撑体系，加大中医药服务体系建设投入，紧抓中医“四名”工程建设，实施中医临床优势培育工程，整理特色诊疗经验和技术，推进中医药传承与发展，加强基层医疗卫生服务中医药适宜技术推广。</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强化全民健身与健康促进。</w:t>
      </w:r>
      <w:r>
        <w:rPr>
          <w:rFonts w:hint="eastAsia" w:ascii="仿宋_GB2312" w:eastAsia="仿宋_GB2312" w:cs="仿宋_GB2312"/>
          <w:color w:val="000000"/>
          <w:sz w:val="32"/>
          <w:szCs w:val="32"/>
        </w:rPr>
        <w:t>实施全民健身计划，构建更高水平全民健身公共服务体系，优化体育公共资源配置，完善体育公共基础设施建设，进一步推动大型体育场馆和基层综合体育设施建设，升级县、镇、村三级公共体育设施，建设一批健身步道，积极打造户外体育公园。推动学校体育设施建设完善。发展具有地方特色的体育产业，加快培育体育消费，大力发展赛事经济、体育旅游、运动康养等新业态。积极推动长三角城市公共体育服务体系互联互通。开展全民健康促进工作，实施全民健康战略，倡导健康生活方式，加强心理健康服务，加快“健康休宁”项目建设，提高基本公共卫生服务质量，积极创建国家级卫生城市，完善全民健康信息平台，积极创建全国健康促进县。推动开展婴幼儿照护服务，提升妇幼健康服务能力。坚持计划生育基本国策不动摇，持续贯彻实施全面二孩政策，规范出生人口监测，休宁计划生育工作继续保持省市前列。</w:t>
      </w:r>
    </w:p>
    <w:p>
      <w:pPr>
        <w:spacing w:line="560" w:lineRule="exact"/>
        <w:ind w:firstLine="642" w:firstLineChars="200"/>
        <w:rPr>
          <w:rFonts w:ascii="仿宋_GB2312" w:eastAsia="仿宋_GB2312"/>
          <w:color w:val="000000"/>
          <w:sz w:val="32"/>
          <w:szCs w:val="32"/>
        </w:rPr>
      </w:pPr>
      <w:bookmarkStart w:id="180" w:name="_Toc55209121"/>
      <w:bookmarkStart w:id="181" w:name="_Toc55190957"/>
      <w:bookmarkStart w:id="182" w:name="_Toc56416845"/>
      <w:r>
        <w:rPr>
          <w:rFonts w:hint="eastAsia" w:ascii="楷体" w:hAnsi="楷体" w:eastAsia="楷体" w:cs="楷体"/>
          <w:b/>
          <w:bCs/>
          <w:color w:val="000000"/>
          <w:sz w:val="32"/>
          <w:szCs w:val="32"/>
        </w:rPr>
        <w:t>完善疾控体系建设</w:t>
      </w:r>
      <w:bookmarkEnd w:id="180"/>
      <w:bookmarkEnd w:id="181"/>
      <w:bookmarkEnd w:id="182"/>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完善重大疾病防控、计划生育、卫生监督等专业公共卫生服务网络。提高对严重威胁人民健康的传染病、慢性病、地方病、职业病、严重精神障碍等疾病的监测、预防、救治能力。进一步完善卫生应急领导组织体系、预案体系，加强突发公共事件紧急医学救援能力和突发公共卫生事件监测预警、应急处置能力建设。抓好常态化疫情防控，完善应急预案和医疗救治方案。完善学校与医疗、疾控机构的“绿色通道”建设，确保师生安全和健康。推进县疾控中心病毒检测能力建设。广泛开展爱国卫生运动，筑牢常态化疫情防控的社会大防线。</w:t>
      </w:r>
    </w:p>
    <w:p>
      <w:pPr>
        <w:spacing w:line="560" w:lineRule="exact"/>
        <w:ind w:firstLine="642" w:firstLineChars="200"/>
        <w:rPr>
          <w:rFonts w:ascii="仿宋_GB2312" w:eastAsia="仿宋_GB2312"/>
          <w:color w:val="000000"/>
          <w:sz w:val="32"/>
          <w:szCs w:val="32"/>
        </w:rPr>
      </w:pPr>
      <w:bookmarkStart w:id="183" w:name="_Toc55209122"/>
      <w:bookmarkStart w:id="184" w:name="_Toc56416846"/>
      <w:bookmarkStart w:id="185" w:name="_Toc55190958"/>
      <w:r>
        <w:rPr>
          <w:rFonts w:hint="eastAsia" w:ascii="楷体" w:hAnsi="楷体" w:eastAsia="楷体" w:cs="楷体"/>
          <w:b/>
          <w:bCs/>
          <w:color w:val="000000"/>
          <w:sz w:val="32"/>
          <w:szCs w:val="32"/>
        </w:rPr>
        <w:t>加强</w:t>
      </w:r>
      <w:bookmarkEnd w:id="183"/>
      <w:bookmarkEnd w:id="184"/>
      <w:bookmarkEnd w:id="185"/>
      <w:r>
        <w:rPr>
          <w:rFonts w:hint="eastAsia" w:ascii="楷体" w:hAnsi="楷体" w:eastAsia="楷体" w:cs="楷体"/>
          <w:b/>
          <w:bCs/>
          <w:color w:val="000000"/>
          <w:sz w:val="32"/>
          <w:szCs w:val="32"/>
        </w:rPr>
        <w:t>卫生人才队伍建设。</w:t>
      </w:r>
      <w:r>
        <w:rPr>
          <w:rFonts w:hint="eastAsia" w:ascii="仿宋_GB2312" w:eastAsia="仿宋_GB2312" w:cs="仿宋_GB2312"/>
          <w:color w:val="000000"/>
          <w:sz w:val="32"/>
          <w:szCs w:val="32"/>
        </w:rPr>
        <w:t>不断加强县、乡、村医疗卫生系统专业技术人员培养。强化农村订单定向医学生免费培养和“三支一扶”人才引进力度，加强乡村医生培养，提高医务人员学历教育水平，加强医护人员选派外出进修培训机制，培养专家型人才，强化急诊急救人员培训，开展特设岗位帮扶和全科医生转岗培训，为基层卫生机构培养人才。开展市级继续教育项目，保持卫生专业技术人员继续医学教育全覆盖。</w:t>
      </w:r>
    </w:p>
    <w:p>
      <w:pPr>
        <w:pStyle w:val="4"/>
        <w:numPr>
          <w:ilvl w:val="0"/>
          <w:numId w:val="16"/>
        </w:numPr>
        <w:spacing w:before="156" w:after="156" w:line="560" w:lineRule="exact"/>
        <w:ind w:left="426"/>
        <w:rPr>
          <w:rFonts w:cs="Times New Roman"/>
          <w:color w:val="000000"/>
        </w:rPr>
      </w:pPr>
      <w:bookmarkStart w:id="186" w:name="_Toc72935925"/>
      <w:r>
        <w:rPr>
          <w:rFonts w:hint="eastAsia" w:cs="楷体"/>
          <w:color w:val="000000"/>
        </w:rPr>
        <w:t>推动文化繁荣发展</w:t>
      </w:r>
      <w:bookmarkEnd w:id="18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以文化产业化发展为依托，文化事业繁荣为导向，丰富公共文化产品和服务供给，促进文化资源优势向效益转化。</w:t>
      </w:r>
    </w:p>
    <w:p>
      <w:pPr>
        <w:spacing w:line="560" w:lineRule="exact"/>
        <w:ind w:firstLine="642" w:firstLineChars="200"/>
        <w:rPr>
          <w:rFonts w:ascii="仿宋_GB2312" w:eastAsia="仿宋_GB2312"/>
          <w:color w:val="000000"/>
          <w:sz w:val="32"/>
          <w:szCs w:val="32"/>
        </w:rPr>
      </w:pPr>
      <w:bookmarkStart w:id="187" w:name="_Toc56416849"/>
      <w:bookmarkStart w:id="188" w:name="_Toc55209125"/>
      <w:bookmarkStart w:id="189" w:name="_Toc55190961"/>
      <w:r>
        <w:rPr>
          <w:rFonts w:hint="eastAsia" w:ascii="楷体" w:hAnsi="楷体" w:eastAsia="楷体" w:cs="楷体"/>
          <w:b/>
          <w:bCs/>
          <w:color w:val="000000"/>
          <w:sz w:val="32"/>
          <w:szCs w:val="32"/>
        </w:rPr>
        <w:t>繁荣文化事业</w:t>
      </w:r>
      <w:bookmarkEnd w:id="187"/>
      <w:bookmarkEnd w:id="188"/>
      <w:bookmarkEnd w:id="189"/>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构建现代公共文化服务体系，加快文化事业项目实施，提升文化惠民覆盖面，推动实现文化事业繁荣发展。践行社会主义核心价值观，广泛开展移风易俗弘扬时代新风行动，凝聚向上力量。围绕重大节庆活动，组织开展大型群众性文艺演出和系列书画展览，繁荣文学艺术创作，着力打造乡镇广场舞展演、传统民俗展示展演两个文化活动品牌。加强公共文化场馆建设，拓展提升公共文化场馆服务功能，提升文化四馆数字化建设水平，完善县级文化“四馆”“安徽文化云”建设，推动状元博物馆、文化馆创成国家一级馆。积极开发建设状元文化公园、横江公园。深入挖掘、整理传统文学、传统音乐、传统技艺等类别非物质文化遗产，实施徽州民间文艺表演示范项目，培养“徽州工匠”“民间大师”，传承优秀传统文化。推动特色状元文化、红色文化、传统非物质文化遗产等类书籍数字化保护和传承，加快景区、度假区专题电子资源扫码阅读点建设，推进和倡导全民阅读。建立非</w:t>
      </w:r>
      <w:r>
        <w:rPr>
          <w:rFonts w:hint="eastAsia" w:ascii="仿宋_GB2312" w:eastAsia="仿宋_GB2312" w:cs="仿宋_GB2312"/>
          <w:color w:val="000000"/>
          <w:sz w:val="32"/>
          <w:szCs w:val="32"/>
          <w:lang w:eastAsia="zh-CN"/>
        </w:rPr>
        <w:t>物质文化遗产</w:t>
      </w:r>
      <w:r>
        <w:rPr>
          <w:rFonts w:hint="eastAsia" w:ascii="仿宋_GB2312" w:eastAsia="仿宋_GB2312" w:cs="仿宋_GB2312"/>
          <w:color w:val="000000"/>
          <w:sz w:val="32"/>
          <w:szCs w:val="32"/>
        </w:rPr>
        <w:t>保护项目和资源书库，推进非物质文化遗产保护利用，启动山泉流水养鱼申报全球重要农业文化遗产工作，实施徽州古建保护利用工程。不断加强文物非遗保护，持续加大全国和省级文物保护单位申报力度。</w:t>
      </w:r>
    </w:p>
    <w:p>
      <w:pPr>
        <w:spacing w:line="560" w:lineRule="exact"/>
        <w:ind w:firstLine="642" w:firstLineChars="200"/>
        <w:rPr>
          <w:rFonts w:ascii="仿宋_GB2312" w:eastAsia="仿宋_GB2312"/>
          <w:color w:val="000000"/>
          <w:sz w:val="32"/>
          <w:szCs w:val="32"/>
        </w:rPr>
      </w:pPr>
      <w:bookmarkStart w:id="190" w:name="_Toc56416848"/>
      <w:bookmarkStart w:id="191" w:name="_Toc55190960"/>
      <w:bookmarkStart w:id="192" w:name="_Toc55209124"/>
      <w:r>
        <w:rPr>
          <w:rFonts w:hint="eastAsia" w:ascii="楷体" w:hAnsi="楷体" w:eastAsia="楷体" w:cs="楷体"/>
          <w:b/>
          <w:bCs/>
          <w:color w:val="000000"/>
          <w:sz w:val="32"/>
          <w:szCs w:val="32"/>
        </w:rPr>
        <w:t>发展文化产业</w:t>
      </w:r>
      <w:bookmarkEnd w:id="190"/>
      <w:bookmarkEnd w:id="191"/>
      <w:bookmarkEnd w:id="192"/>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健全现代文化产业体系和市场体系，加快文化产业招商，推进物质和非物质文化遗产保护性开发，加快重大文化产业项目建设，加快推进南山东篱、嘉禾艺术、裕民徽派古建筑文化园等文化产业项目，加快地域文化与旅游、创意、研学等融合发展，培育丰富文化产业业态形式，实现保护与利用的良性循环。以生态环境保护为前提，整合县内古塔、古桥、古道等人文资源，加快开发和保护，带动文化旅游经济的发展。传承和弘扬道文化、徽文化、状元文化、罗经文化、茶文化，积极推动非物质文化遗产与旅游深度结合，以休闲体验、时尚演绎、摄影影视、工艺美术、根雕艺术、文博会展等为重点，加快文化资源优势向文化产业优势转化。认真落实支持文化产业发展实施意见，谋划建设齐云山</w:t>
      </w:r>
      <w:r>
        <w:rPr>
          <w:rFonts w:ascii="仿宋_GB2312" w:hAnsi="µÈÏß Western" w:eastAsia="仿宋_GB2312" w:cs="µÈÏß Western"/>
          <w:color w:val="000000"/>
          <w:sz w:val="32"/>
          <w:szCs w:val="32"/>
        </w:rPr>
        <w:t>—</w:t>
      </w:r>
      <w:r>
        <w:rPr>
          <w:rFonts w:hint="eastAsia" w:ascii="仿宋_GB2312" w:eastAsia="仿宋_GB2312" w:cs="仿宋_GB2312"/>
          <w:color w:val="000000"/>
          <w:sz w:val="32"/>
          <w:szCs w:val="32"/>
        </w:rPr>
        <w:t>海阳</w:t>
      </w:r>
      <w:r>
        <w:rPr>
          <w:rFonts w:ascii="仿宋_GB2312" w:hAnsi="µÈÏß Western" w:eastAsia="仿宋_GB2312" w:cs="µÈÏß Western"/>
          <w:color w:val="000000"/>
          <w:sz w:val="32"/>
          <w:szCs w:val="32"/>
        </w:rPr>
        <w:t>—</w:t>
      </w:r>
      <w:r>
        <w:rPr>
          <w:rFonts w:hint="eastAsia" w:ascii="仿宋_GB2312" w:eastAsia="仿宋_GB2312" w:cs="仿宋_GB2312"/>
          <w:color w:val="000000"/>
          <w:sz w:val="32"/>
          <w:szCs w:val="32"/>
        </w:rPr>
        <w:t>万安文化创意走廊，推动海阳西街、万安老街综合保护开发，引入社会资本推动老街区、古村落等改建为文化创意园区（街区），名人故居、历史建筑修建为文化艺术景点，加快推动一批古村落保护利用项目实施，推动文化产业突破性发展。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年，力争全县新增规上文化企业</w:t>
      </w:r>
      <w:r>
        <w:rPr>
          <w:rFonts w:ascii="仿宋_GB2312" w:eastAsia="仿宋_GB2312" w:cs="仿宋_GB2312"/>
          <w:color w:val="000000"/>
          <w:sz w:val="32"/>
          <w:szCs w:val="32"/>
        </w:rPr>
        <w:t>10</w:t>
      </w:r>
      <w:r>
        <w:rPr>
          <w:rFonts w:hint="eastAsia" w:ascii="仿宋_GB2312" w:eastAsia="仿宋_GB2312" w:cs="仿宋_GB2312"/>
          <w:color w:val="000000"/>
          <w:sz w:val="32"/>
          <w:szCs w:val="32"/>
        </w:rPr>
        <w:t>家，文化产业增加值年均增长</w:t>
      </w:r>
      <w:r>
        <w:rPr>
          <w:rFonts w:ascii="仿宋_GB2312" w:eastAsia="仿宋_GB2312" w:cs="仿宋_GB2312"/>
          <w:color w:val="000000"/>
          <w:sz w:val="32"/>
          <w:szCs w:val="32"/>
        </w:rPr>
        <w:t>12%</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加强社会主义精神文明建设。</w:t>
      </w:r>
      <w:r>
        <w:rPr>
          <w:rFonts w:hint="eastAsia" w:ascii="仿宋_GB2312" w:eastAsia="仿宋_GB2312" w:cs="仿宋_GB2312"/>
          <w:color w:val="000000"/>
          <w:sz w:val="32"/>
          <w:szCs w:val="32"/>
        </w:rPr>
        <w:t>坚持以习近平新时代中国特色社会主义思想为指导，围绕全国文明示范县创建工作，用中国梦和社会主义核心价值观凝聚全县共识，汇聚发展力量，进一步加强社会公德、职业道德、家庭美德、个人品德建设。聚焦公民道德建设，广泛开展新时代家风家训培育、“最美”系列创评等实践活动，挖掘休宁传统与红色文化，推动理想信念教育常态化、制度化，弘扬民族精神和时代精神。围绕立德树人根本任务，强化未成年人保护与教育，聚焦道德教育，深化校园实践、家庭实践、社区实践，推进时代新人培育，弘扬向上向善的时代新风。推动新时代文明实践指导中心建设，建立群众学习网络体系，推动新思想厚植休宁沃土，进一步完善县（区）、乡镇（街道）和村（社区）三级联动体系。推动精神文明建设创建与党建、群建深度融合，注重载体创新，丰富活动内容，改进推广方式，让精神文明建设从机关单位延伸到企业、社区、学校、家庭。广泛开展志愿服务，加强志愿服务云平台建设，培育和打造一批特色志愿服务项目，加强志愿者培训和管理，着力满足人民对美好生活向往的需求。加强红色文化挖掘，增强群众爱国主义精神和国防观念，广泛开展双拥共建活动。开展群众性精神文明创建活动，推进诚信行业、诚信示范街区、诚信经营示范店等主题实践活动，深化文明城市、文明单位、文明村镇、文明校园、文明家庭创建活动。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年，推动休宁文明村镇占比超过</w:t>
      </w:r>
      <w:r>
        <w:rPr>
          <w:rFonts w:ascii="仿宋_GB2312" w:eastAsia="仿宋_GB2312" w:cs="仿宋_GB2312"/>
          <w:color w:val="000000"/>
          <w:sz w:val="32"/>
          <w:szCs w:val="32"/>
        </w:rPr>
        <w:t>80%</w:t>
      </w:r>
      <w:r>
        <w:rPr>
          <w:rFonts w:hint="eastAsia" w:ascii="仿宋_GB2312" w:eastAsia="仿宋_GB2312" w:cs="仿宋_GB2312"/>
          <w:color w:val="000000"/>
          <w:sz w:val="32"/>
          <w:szCs w:val="32"/>
        </w:rPr>
        <w:t>。</w:t>
      </w:r>
    </w:p>
    <w:p>
      <w:pPr>
        <w:pStyle w:val="4"/>
        <w:numPr>
          <w:ilvl w:val="0"/>
          <w:numId w:val="16"/>
        </w:numPr>
        <w:spacing w:before="156" w:after="156" w:line="560" w:lineRule="exact"/>
        <w:ind w:left="426"/>
        <w:rPr>
          <w:rFonts w:cs="Times New Roman"/>
          <w:color w:val="000000"/>
        </w:rPr>
      </w:pPr>
      <w:bookmarkStart w:id="193" w:name="_Toc72935926"/>
      <w:r>
        <w:rPr>
          <w:rFonts w:hint="eastAsia" w:cs="楷体"/>
          <w:color w:val="000000"/>
        </w:rPr>
        <w:t>健全多层次社会保障体系</w:t>
      </w:r>
      <w:bookmarkEnd w:id="193"/>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全面建成覆盖城乡居民的社会保障体系，完善养老服务、社会保险、社会救助体系的管理、运行机制，推动保障水平稳步提高，实现发展成果人民共享。</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完善养老服务体系。</w:t>
      </w:r>
      <w:r>
        <w:rPr>
          <w:rFonts w:hint="eastAsia" w:ascii="仿宋_GB2312" w:eastAsia="仿宋_GB2312" w:cs="仿宋_GB2312"/>
          <w:color w:val="000000"/>
          <w:sz w:val="32"/>
          <w:szCs w:val="32"/>
        </w:rPr>
        <w:t>健全基本养老服务体系，加强基本养老服务兜底保障，完善经济困难高龄、失能等老年人补贴制度，开展特殊困难老年人家庭居家适老化改造。加快养老服务项目建设，完成农村敬老院升级改造提升工程，建立县级失能照护中心。健全社区居家养老服务网络，完善居家养老服务内涵。健全医疗卫生机构与养老机构合作机制，开展家庭医生签约服务，推进医养融合发展。搭建“智慧养老”综合信息平台，提供“一站式”养老服务。推动养老事业和养老产业协同发展，发展普惠型养老服务和互助性养老，支持家庭承担养老功能，培育养老新业态，构建居家社区机构相协调、医养康养相结合的养老服务体系。健全养老服务综合监管制度。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年，推动养老床位数达到每千名老人</w:t>
      </w:r>
      <w:r>
        <w:rPr>
          <w:rFonts w:ascii="仿宋_GB2312" w:eastAsia="仿宋_GB2312" w:cs="仿宋_GB2312"/>
          <w:color w:val="000000"/>
          <w:sz w:val="32"/>
          <w:szCs w:val="32"/>
        </w:rPr>
        <w:t>50</w:t>
      </w:r>
      <w:r>
        <w:rPr>
          <w:rFonts w:hint="eastAsia" w:ascii="仿宋_GB2312" w:eastAsia="仿宋_GB2312" w:cs="仿宋_GB2312"/>
          <w:color w:val="000000"/>
          <w:sz w:val="32"/>
          <w:szCs w:val="32"/>
        </w:rPr>
        <w:t>张，城市社区日间照料服务设施实现全覆盖，农村社区日间照料服务设施覆盖率达</w:t>
      </w:r>
      <w:r>
        <w:rPr>
          <w:rFonts w:ascii="仿宋_GB2312" w:eastAsia="仿宋_GB2312" w:cs="仿宋_GB2312"/>
          <w:color w:val="000000"/>
          <w:sz w:val="32"/>
          <w:szCs w:val="32"/>
        </w:rPr>
        <w:t>70%</w:t>
      </w:r>
      <w:r>
        <w:rPr>
          <w:rFonts w:hint="eastAsia" w:ascii="仿宋_GB2312" w:eastAsia="仿宋_GB2312" w:cs="仿宋_GB2312"/>
          <w:color w:val="000000"/>
          <w:sz w:val="32"/>
          <w:szCs w:val="32"/>
        </w:rPr>
        <w:t>以上，福彩公益金用于社会养老服务的比例不少于</w:t>
      </w:r>
      <w:r>
        <w:rPr>
          <w:rFonts w:ascii="仿宋_GB2312" w:eastAsia="仿宋_GB2312" w:cs="仿宋_GB2312"/>
          <w:color w:val="000000"/>
          <w:sz w:val="32"/>
          <w:szCs w:val="32"/>
        </w:rPr>
        <w:t>65%</w:t>
      </w:r>
      <w:r>
        <w:rPr>
          <w:rFonts w:hint="eastAsia" w:ascii="仿宋_GB2312" w:eastAsia="仿宋_GB2312" w:cs="仿宋_GB2312"/>
          <w:color w:val="000000"/>
          <w:sz w:val="32"/>
          <w:szCs w:val="32"/>
        </w:rPr>
        <w:t>。</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完善社会保险体系。</w:t>
      </w:r>
      <w:r>
        <w:rPr>
          <w:rFonts w:hint="eastAsia" w:ascii="仿宋_GB2312" w:eastAsia="仿宋_GB2312" w:cs="仿宋_GB2312"/>
          <w:color w:val="000000"/>
          <w:sz w:val="32"/>
          <w:szCs w:val="32"/>
        </w:rPr>
        <w:t>全面实施全市统一的城乡居民基本医疗保险和大病保险制度，积极稳妥提升医疗保障待遇。扎实做好城乡医疗救助工作，充分发挥医疗救助的托底保障作用。完善城乡居民社会养老保险制度，推进机关、事业单位养老保险制度改革。落实渐进式延迟法定退休年龄。建立工伤预防、补偿、康复相结合的工伤保险制度。落实重大疾病医疗保险和救助制度。落实异地就医结算。积极发展商业医疗保险。加强人社信息化保障，全面拓展金融社保卡“一卡多用、一卡通用”功能。切实维护跨地区流动就业人员的社会保险权益。</w:t>
      </w:r>
    </w:p>
    <w:p>
      <w:pPr>
        <w:spacing w:line="560" w:lineRule="exact"/>
        <w:ind w:firstLine="642" w:firstLineChars="200"/>
        <w:rPr>
          <w:rFonts w:ascii="仿宋_GB2312" w:eastAsia="仿宋_GB2312"/>
          <w:color w:val="000000"/>
          <w:sz w:val="32"/>
          <w:szCs w:val="32"/>
        </w:rPr>
      </w:pPr>
      <w:bookmarkStart w:id="194" w:name="_Toc56416852"/>
      <w:bookmarkStart w:id="195" w:name="_Toc55209128"/>
      <w:bookmarkStart w:id="196" w:name="_Toc55190964"/>
      <w:r>
        <w:rPr>
          <w:rFonts w:hint="eastAsia" w:ascii="楷体" w:hAnsi="楷体" w:eastAsia="楷体" w:cs="楷体"/>
          <w:b/>
          <w:bCs/>
          <w:color w:val="000000"/>
          <w:sz w:val="32"/>
          <w:szCs w:val="32"/>
        </w:rPr>
        <w:t>完善社会救助体系</w:t>
      </w:r>
      <w:bookmarkEnd w:id="194"/>
      <w:bookmarkEnd w:id="195"/>
      <w:bookmarkEnd w:id="196"/>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完善社会救助工作的管理体制与运行机制，建立部门联动、社会参与的多边救助机制，形成信息共享、相互配合、协调运作的长效工作机制，着力构建分层分类、城乡统筹的社会救助体系。切实加快社会救助审批制度改革，确保社会救助及时有效落实。将社会救助各类配套资金和工作经费足额列入财政预算，并随着财政收入的增长，建立预算自然增长机制。建立健全监督机制，通过纪检、审计监督和社会舆论监督，推动社会救助体系健康发展。支持残疾人事业发展，完善残疾人康复、就业、托养、教育、文化等基本公共服务体系。</w:t>
      </w:r>
    </w:p>
    <w:p>
      <w:pPr>
        <w:pStyle w:val="5"/>
        <w:spacing w:line="560" w:lineRule="exact"/>
        <w:ind w:firstLine="0"/>
        <w:jc w:val="center"/>
        <w:rPr>
          <w:rFonts w:ascii="黑体" w:hAnsi="黑体" w:eastAsia="黑体" w:cs="Times New Roman"/>
          <w:color w:val="000000"/>
        </w:rPr>
      </w:pPr>
      <w:r>
        <w:rPr>
          <w:rFonts w:hint="eastAsia" w:ascii="黑体" w:hAnsi="黑体" w:eastAsia="黑体" w:cs="黑体"/>
          <w:color w:val="000000"/>
        </w:rPr>
        <w:t>社会事业发展工程</w:t>
      </w:r>
    </w:p>
    <w:tbl>
      <w:tblPr>
        <w:tblStyle w:val="1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tcPr>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养老：</w:t>
            </w:r>
            <w:r>
              <w:rPr>
                <w:rFonts w:hint="eastAsia" w:ascii="仿宋_GB2312" w:cs="仿宋_GB2312"/>
                <w:color w:val="000000"/>
                <w:sz w:val="24"/>
                <w:szCs w:val="24"/>
              </w:rPr>
              <w:t>新安养生谷西苑、新安养生谷二期、休宁县齐云山镇敬老院扩建提升项目、休宁县溪口镇敬老院扩建提升项目、休宁县五城镇敬老院扩建提升项目、休宁县东临溪镇敬老院扩建提升项目、休宁县失能半失能老人集中养护院、东临溪生态养生文化养老综合社区、商山镇敬老院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教育：</w:t>
            </w:r>
            <w:r>
              <w:rPr>
                <w:rFonts w:hint="eastAsia" w:ascii="仿宋_GB2312" w:cs="仿宋_GB2312"/>
                <w:color w:val="000000"/>
                <w:sz w:val="24"/>
                <w:szCs w:val="24"/>
              </w:rPr>
              <w:t>黄山健康职业学院二期、黄山新教育学校三期、北城区小学、东城区幼儿园、北城区幼儿园、开发区幼儿园、乡村幼儿园改造提升工程、乡镇学校改造提升工程（含寄宿制学校、食堂和小规模学校（教学点）改造提升工程）、休宁中学改造提升工程（含新建教学楼、风雨操场、校舍改造）、休宁徽匠学校实训楼、海阳一小综合楼、洪里中心小学教学综合楼、教育信息化建设工程、中小学实验室提升工程。</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医疗：</w:t>
            </w:r>
            <w:r>
              <w:rPr>
                <w:rFonts w:hint="eastAsia" w:ascii="仿宋_GB2312" w:cs="仿宋_GB2312"/>
                <w:color w:val="000000"/>
                <w:sz w:val="24"/>
                <w:szCs w:val="24"/>
              </w:rPr>
              <w:t>黄山市休宁县智慧医院建设及改造提升项目、黄山市休宁县总医院救治能力提升项目、黄山市休宁县综合医疗服务能力提升项目、休宁县安康医院项目、黄山市休宁县智慧疫苗接种门诊建设项目、黄山市休宁县总医院综合医技大楼建设项目、黄山市休宁县总医院综合医疗服务能力提升项目。</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健康休宁：</w:t>
            </w:r>
            <w:r>
              <w:rPr>
                <w:rFonts w:hint="eastAsia" w:ascii="仿宋_GB2312" w:cs="仿宋_GB2312"/>
                <w:color w:val="000000"/>
                <w:sz w:val="24"/>
                <w:szCs w:val="24"/>
              </w:rPr>
              <w:t>休宁县北城区全民健身场地项目、休宁县游泳馆、休宁县全民健身中心。</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文化事业：</w:t>
            </w:r>
            <w:r>
              <w:rPr>
                <w:rFonts w:hint="eastAsia" w:ascii="仿宋_GB2312" w:cs="仿宋_GB2312"/>
                <w:color w:val="000000"/>
                <w:sz w:val="24"/>
                <w:szCs w:val="24"/>
              </w:rPr>
              <w:t>状元博物馆四期、裕民古建、横江明清徽州建筑文化苑、移民安置点文化体育设施建设、休宁县历史文化街区保护修复工程、文化馆建设、徽饶古道修复。</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古建筑保护：</w:t>
            </w:r>
            <w:r>
              <w:rPr>
                <w:rFonts w:hint="eastAsia" w:ascii="仿宋_GB2312" w:cs="仿宋_GB2312"/>
                <w:color w:val="000000"/>
                <w:sz w:val="24"/>
                <w:szCs w:val="24"/>
              </w:rPr>
              <w:t>古村落打造项目、五城镇传统古村落保护、库区古建筑迁移保护工程、</w:t>
            </w:r>
            <w:r>
              <w:rPr>
                <w:rFonts w:ascii="仿宋_GB2312" w:cs="仿宋_GB2312"/>
                <w:color w:val="000000"/>
                <w:sz w:val="24"/>
                <w:szCs w:val="24"/>
                <w:shd w:val="clear" w:color="auto" w:fill="FFFFFF"/>
              </w:rPr>
              <w:t>2020</w:t>
            </w:r>
            <w:r>
              <w:rPr>
                <w:rFonts w:hint="eastAsia" w:ascii="仿宋_GB2312" w:cs="仿宋_GB2312"/>
                <w:color w:val="000000"/>
                <w:sz w:val="24"/>
                <w:szCs w:val="24"/>
                <w:shd w:val="clear" w:color="auto" w:fill="FFFFFF"/>
              </w:rPr>
              <w:t>中国传统村落集中连片保护利项目、</w:t>
            </w:r>
            <w:r>
              <w:rPr>
                <w:rFonts w:hint="eastAsia" w:ascii="仿宋_GB2312" w:cs="仿宋_GB2312"/>
                <w:color w:val="000000"/>
                <w:sz w:val="24"/>
                <w:szCs w:val="24"/>
              </w:rPr>
              <w:t>休宁县中国传统村落集中连片保护利用项目、回婺古道修复提升工程。</w:t>
            </w:r>
          </w:p>
          <w:p>
            <w:pPr>
              <w:pStyle w:val="25"/>
              <w:numPr>
                <w:ilvl w:val="0"/>
                <w:numId w:val="8"/>
              </w:numPr>
              <w:spacing w:line="360" w:lineRule="exact"/>
              <w:rPr>
                <w:rFonts w:ascii="仿宋_GB2312" w:cs="Times New Roman"/>
                <w:color w:val="000000"/>
                <w:sz w:val="24"/>
                <w:szCs w:val="24"/>
              </w:rPr>
            </w:pPr>
            <w:r>
              <w:rPr>
                <w:rFonts w:hint="eastAsia" w:ascii="仿宋_GB2312" w:cs="仿宋_GB2312"/>
                <w:b/>
                <w:bCs/>
                <w:color w:val="000000"/>
                <w:sz w:val="24"/>
                <w:szCs w:val="24"/>
              </w:rPr>
              <w:t>双拥：</w:t>
            </w:r>
            <w:r>
              <w:rPr>
                <w:rFonts w:hint="eastAsia" w:ascii="仿宋_GB2312" w:cs="仿宋_GB2312"/>
                <w:color w:val="000000"/>
                <w:sz w:val="24"/>
                <w:szCs w:val="24"/>
              </w:rPr>
              <w:t>休宁县鹤城乡六股尖烈士陵园改扩建、休宁县光荣院建设、县退役军人服务中心新建、黄山市退役军人创业示范基地、德友生态农业园、石屋坑烈士纪念广场提质改造。</w:t>
            </w:r>
          </w:p>
        </w:tc>
      </w:tr>
    </w:tbl>
    <w:p>
      <w:pPr>
        <w:pStyle w:val="3"/>
        <w:numPr>
          <w:ilvl w:val="0"/>
          <w:numId w:val="6"/>
        </w:numPr>
        <w:spacing w:before="156" w:after="156" w:line="560" w:lineRule="exact"/>
        <w:ind w:left="426" w:hanging="426"/>
        <w:rPr>
          <w:rFonts w:ascii="黑体" w:cs="Times New Roman"/>
          <w:color w:val="000000"/>
        </w:rPr>
      </w:pPr>
      <w:bookmarkStart w:id="197" w:name="_Toc72935927"/>
      <w:r>
        <w:rPr>
          <w:rFonts w:hint="eastAsia" w:ascii="黑体" w:hAnsi="黑体" w:cs="黑体"/>
          <w:color w:val="000000"/>
        </w:rPr>
        <w:t>建设高水平平安休宁</w:t>
      </w:r>
      <w:bookmarkEnd w:id="19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加强和创新社会治理，扎实推进市域社会治理现代化试点工作，提升社会治理体系和治理能力现代化水平，构建共建共治共享的社会治理新格局，建设更高水平平安休宁。</w:t>
      </w:r>
    </w:p>
    <w:p>
      <w:pPr>
        <w:pStyle w:val="4"/>
        <w:numPr>
          <w:ilvl w:val="0"/>
          <w:numId w:val="17"/>
        </w:numPr>
        <w:spacing w:before="156" w:after="156" w:line="560" w:lineRule="exact"/>
        <w:ind w:left="426"/>
        <w:rPr>
          <w:rFonts w:cs="Times New Roman"/>
          <w:color w:val="000000"/>
        </w:rPr>
      </w:pPr>
      <w:bookmarkStart w:id="198" w:name="_Toc72935928"/>
      <w:r>
        <w:rPr>
          <w:rFonts w:hint="eastAsia" w:cs="楷体"/>
          <w:color w:val="000000"/>
        </w:rPr>
        <w:t>全面提高公共安全保障能力</w:t>
      </w:r>
      <w:bookmarkEnd w:id="19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加强党委领导和政府主导，推动各部门齐抓共管，强化社会治安防控网建设、提高社会治安防控体系建设科技水平，全面推进县域社会治理现代化建设。</w:t>
      </w:r>
    </w:p>
    <w:p>
      <w:pPr>
        <w:spacing w:line="560" w:lineRule="exact"/>
        <w:ind w:firstLine="642" w:firstLineChars="200"/>
        <w:rPr>
          <w:rFonts w:ascii="仿宋_GB2312" w:eastAsia="仿宋_GB2312"/>
          <w:color w:val="000000"/>
          <w:sz w:val="32"/>
          <w:szCs w:val="32"/>
        </w:rPr>
      </w:pPr>
      <w:bookmarkStart w:id="199" w:name="_Toc56416855"/>
      <w:bookmarkStart w:id="200" w:name="_Toc55190967"/>
      <w:bookmarkStart w:id="201" w:name="_Toc55209131"/>
      <w:r>
        <w:rPr>
          <w:rFonts w:hint="eastAsia" w:ascii="楷体" w:hAnsi="楷体" w:eastAsia="楷体" w:cs="楷体"/>
          <w:b/>
          <w:bCs/>
          <w:color w:val="000000"/>
          <w:sz w:val="32"/>
          <w:szCs w:val="32"/>
        </w:rPr>
        <w:t>完善社会治安防控体系</w:t>
      </w:r>
      <w:bookmarkEnd w:id="199"/>
      <w:bookmarkEnd w:id="200"/>
      <w:bookmarkEnd w:id="20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提升社会治安综合治理能力，完善扫黑除恶工作常态化制度保障，持续开展“守护平安系列行动”。进一步加强预防青少年违法犯罪工作，切实维护青少年合法权益。加强社会面治安防空网建设，完善“人防物防技防”设施建设。深化政法系统“放管服”改革，持续开展“减证便民”行动。深入开展打击缉枪治暴、盗抢骗、黄赌毒等突出违法犯罪。加强危爆物品、制爆器材、散装汽油源头治理。加强流动人口服务管理，加强社区矫正对象、刑满释放人员、吸毒人员、重性精神病障碍患者等各类特殊人群服务管理工作。加大警务信息化建设，统筹推进智慧警务建设应用，进一步推动公共安全视频“前哨”</w:t>
      </w:r>
      <w:r>
        <w:rPr>
          <w:rFonts w:ascii="仿宋_GB2312" w:eastAsia="仿宋_GB2312" w:cs="仿宋_GB2312"/>
          <w:color w:val="000000"/>
          <w:sz w:val="32"/>
          <w:szCs w:val="32"/>
        </w:rPr>
        <w:t>+</w:t>
      </w:r>
      <w:r>
        <w:rPr>
          <w:rFonts w:hint="eastAsia" w:ascii="仿宋_GB2312" w:eastAsia="仿宋_GB2312" w:cs="仿宋_GB2312"/>
          <w:color w:val="000000"/>
          <w:sz w:val="32"/>
          <w:szCs w:val="32"/>
        </w:rPr>
        <w:t>“雪亮工程”整合应用，推动“智慧监管”实战应用平台建设，加大平安建设的资金和科技投入，助推基层“五有保障”向“五优保障”提档升级。加强城乡社区警务建设，健全完善“警民联调”工作机制，“一村一警”</w:t>
      </w:r>
      <w:r>
        <w:rPr>
          <w:rFonts w:ascii="仿宋_GB2312" w:eastAsia="仿宋_GB2312" w:cs="仿宋_GB2312"/>
          <w:color w:val="000000"/>
          <w:sz w:val="32"/>
          <w:szCs w:val="32"/>
        </w:rPr>
        <w:t>100%</w:t>
      </w:r>
      <w:r>
        <w:rPr>
          <w:rFonts w:hint="eastAsia" w:ascii="仿宋_GB2312" w:eastAsia="仿宋_GB2312" w:cs="仿宋_GB2312"/>
          <w:color w:val="000000"/>
          <w:sz w:val="32"/>
          <w:szCs w:val="32"/>
        </w:rPr>
        <w:t>覆盖。加强网络安全监管，深化网安警务室建设。</w:t>
      </w:r>
    </w:p>
    <w:p>
      <w:pPr>
        <w:spacing w:line="560" w:lineRule="exact"/>
        <w:ind w:firstLine="642" w:firstLineChars="200"/>
        <w:rPr>
          <w:rFonts w:ascii="仿宋_GB2312" w:eastAsia="仿宋_GB2312"/>
          <w:color w:val="000000"/>
          <w:sz w:val="32"/>
          <w:szCs w:val="32"/>
        </w:rPr>
      </w:pPr>
      <w:bookmarkStart w:id="202" w:name="_Toc55190968"/>
      <w:bookmarkStart w:id="203" w:name="_Toc56416856"/>
      <w:bookmarkStart w:id="204" w:name="_Toc55209132"/>
      <w:r>
        <w:rPr>
          <w:rFonts w:hint="eastAsia" w:ascii="楷体" w:hAnsi="楷体" w:eastAsia="楷体" w:cs="楷体"/>
          <w:b/>
          <w:bCs/>
          <w:color w:val="000000"/>
          <w:sz w:val="32"/>
          <w:szCs w:val="32"/>
        </w:rPr>
        <w:t>健全完善纠纷化解机制</w:t>
      </w:r>
      <w:bookmarkEnd w:id="202"/>
      <w:bookmarkEnd w:id="203"/>
      <w:bookmarkEnd w:id="20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实施“纵横</w:t>
      </w:r>
      <w:r>
        <w:rPr>
          <w:rFonts w:ascii="仿宋_GB2312" w:eastAsia="仿宋_GB2312" w:cs="仿宋_GB2312"/>
          <w:color w:val="000000"/>
          <w:sz w:val="32"/>
          <w:szCs w:val="32"/>
        </w:rPr>
        <w:t>365</w:t>
      </w:r>
      <w:r>
        <w:rPr>
          <w:rFonts w:hint="eastAsia" w:ascii="仿宋_GB2312" w:eastAsia="仿宋_GB2312" w:cs="仿宋_GB2312"/>
          <w:color w:val="000000"/>
          <w:sz w:val="32"/>
          <w:szCs w:val="32"/>
        </w:rPr>
        <w:t>”矛盾纠纷预防化解机制，扎实开展矛盾纠纷联处联调工作，推行“换作是你”调解法，落实平安和谐边界建设“八联”机制，开展“平安边界”创建工作。拓宽第三方参与矛盾纠纷化解的制度化渠道，发挥“传哥调解工作室”、婚姻调解“大妈谈心室”作用，鼓励和指导乡镇建设个人调解室。建立健全维护稳定“</w:t>
      </w:r>
      <w:r>
        <w:rPr>
          <w:rFonts w:ascii="仿宋_GB2312" w:eastAsia="仿宋_GB2312" w:cs="仿宋_GB2312"/>
          <w:color w:val="000000"/>
          <w:sz w:val="32"/>
          <w:szCs w:val="32"/>
        </w:rPr>
        <w:t>3+X</w:t>
      </w:r>
      <w:r>
        <w:rPr>
          <w:rFonts w:hint="eastAsia" w:ascii="仿宋_GB2312" w:eastAsia="仿宋_GB2312" w:cs="仿宋_GB2312"/>
          <w:color w:val="000000"/>
          <w:sz w:val="32"/>
          <w:szCs w:val="32"/>
        </w:rPr>
        <w:t>”工作机制，有效防范化解和妥善处置群体性事件。健全重大决策事项社会稳定风险评估机制，完善社会矛盾排查预警、突发事件预警和应急处置机制。深化信访制度改革，加大信访积案化解力度，打造更高水平的阳光信访、责任信访、法治信访。深入开展诉源治理，健全人民调解、行政调解、司法调解联动工作体系。推进信访接待中心、综治中心等多平台融合，推进“最多跑一地”的“一站式”服务。健全社会心理服务体系和疏导机制、危机干预机制。</w:t>
      </w:r>
    </w:p>
    <w:p>
      <w:pPr>
        <w:spacing w:line="560" w:lineRule="exact"/>
        <w:ind w:firstLine="642" w:firstLineChars="200"/>
        <w:rPr>
          <w:rFonts w:ascii="仿宋_GB2312" w:eastAsia="仿宋_GB2312"/>
          <w:color w:val="000000"/>
          <w:sz w:val="30"/>
          <w:szCs w:val="30"/>
        </w:rPr>
      </w:pPr>
      <w:bookmarkStart w:id="205" w:name="_Toc55209133"/>
      <w:bookmarkStart w:id="206" w:name="_Toc55190969"/>
      <w:bookmarkStart w:id="207" w:name="_Toc56416857"/>
      <w:r>
        <w:rPr>
          <w:rFonts w:hint="eastAsia" w:ascii="楷体" w:hAnsi="楷体" w:eastAsia="楷体" w:cs="楷体"/>
          <w:b/>
          <w:bCs/>
          <w:color w:val="000000"/>
          <w:sz w:val="32"/>
          <w:szCs w:val="32"/>
        </w:rPr>
        <w:t>构建新型市场监管体系</w:t>
      </w:r>
      <w:bookmarkEnd w:id="205"/>
      <w:bookmarkEnd w:id="206"/>
      <w:bookmarkEnd w:id="207"/>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构建集信息归集共享、信用分类监管、失信联合惩戒的新型监管机制，推动“征信、评信、用信”有机融合，促进监管环节有效衔接。加强社会信用体系建设，构建信用承诺、信息公示、信用分级分类、信用联合奖惩等全流程信用监管机制。构建严重失信企业联合惩戒机制，依据企业信用情况，形成监管方式、抽查比例和频次。全面开展农户、农村企业、农村经济组织等涉农主体信用信息采集工作，有效整合县域信用资源，推动税务、社保、市场监管等部门信用信息归集共享。构建智慧市场监管体系。加强休宁市场监管顶层设计，推动休宁市场监管数据归集和整合，驱动跨乡镇、跨部门、跨层级数据共享和业务协同。构建覆盖监管执法、公共服务、电子政务等领域的智慧市场监管体系，为促进市场公平竞争、维护市场秩序提供重要支撑。</w:t>
      </w:r>
    </w:p>
    <w:p>
      <w:pPr>
        <w:pStyle w:val="4"/>
        <w:numPr>
          <w:ilvl w:val="0"/>
          <w:numId w:val="17"/>
        </w:numPr>
        <w:spacing w:before="156" w:after="156" w:line="560" w:lineRule="exact"/>
        <w:ind w:left="426"/>
        <w:rPr>
          <w:rFonts w:cs="Times New Roman"/>
          <w:color w:val="000000"/>
        </w:rPr>
      </w:pPr>
      <w:bookmarkStart w:id="208" w:name="_Toc72935929"/>
      <w:r>
        <w:rPr>
          <w:rFonts w:hint="eastAsia" w:cs="楷体"/>
          <w:color w:val="000000"/>
        </w:rPr>
        <w:t>完善基层社会治理</w:t>
      </w:r>
      <w:bookmarkEnd w:id="20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优化社会治理资源配置，推动社会治理和服务重心向基层转移，构筑多元参与的基层治理体系，打造基层社会治理模式升级版。</w:t>
      </w:r>
    </w:p>
    <w:p>
      <w:pPr>
        <w:spacing w:line="560" w:lineRule="exact"/>
        <w:ind w:firstLine="642" w:firstLineChars="200"/>
        <w:rPr>
          <w:rFonts w:ascii="仿宋_GB2312" w:eastAsia="仿宋_GB2312"/>
          <w:color w:val="000000"/>
          <w:sz w:val="32"/>
          <w:szCs w:val="32"/>
        </w:rPr>
      </w:pPr>
      <w:bookmarkStart w:id="209" w:name="_Toc55209135"/>
      <w:bookmarkStart w:id="210" w:name="_Toc55190971"/>
      <w:bookmarkStart w:id="211" w:name="_Toc56416859"/>
      <w:r>
        <w:rPr>
          <w:rFonts w:hint="eastAsia" w:ascii="楷体" w:hAnsi="楷体" w:eastAsia="楷体" w:cs="楷体"/>
          <w:b/>
          <w:bCs/>
          <w:color w:val="000000"/>
          <w:sz w:val="32"/>
          <w:szCs w:val="32"/>
        </w:rPr>
        <w:t>引导推动多元共治</w:t>
      </w:r>
      <w:bookmarkEnd w:id="209"/>
      <w:bookmarkEnd w:id="210"/>
      <w:bookmarkEnd w:id="21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畅通公众有序参与社区治理的渠道，坚持和发展新时代“枫桥经验”的休宁实践，打造“五治”融合的社会治理“休宁样本”。大力培育社区治理参与主体，推动各主体参与互动，形成较为完善的社区、社会组织、社会工作“三社联动”机制。构建多元参与的社会治理服务平台，健全激励机制，持续推进基层社会治理创新，组织和发动社会力量参与基层社会治理，发挥“平安小铺”“广场舞大妈”“平安村医”作用。探索创新符合休宁实际的社会治理机制，打造一批基层社会治理亮点品，形成可复制、可推广的经验做法。通过社会购买服务等方式，推进市政公共设施维修管理作业市场化，实现市政公共设施维护常态化、专业化运作。</w:t>
      </w:r>
    </w:p>
    <w:p>
      <w:pPr>
        <w:spacing w:line="560" w:lineRule="exact"/>
        <w:ind w:firstLine="642" w:firstLineChars="200"/>
        <w:rPr>
          <w:rFonts w:ascii="仿宋_GB2312" w:eastAsia="仿宋_GB2312"/>
          <w:color w:val="000000"/>
          <w:sz w:val="30"/>
          <w:szCs w:val="30"/>
        </w:rPr>
      </w:pPr>
      <w:bookmarkStart w:id="212" w:name="_Toc55209136"/>
      <w:bookmarkStart w:id="213" w:name="_Toc56416860"/>
      <w:bookmarkStart w:id="214" w:name="_Toc55190972"/>
      <w:r>
        <w:rPr>
          <w:rFonts w:hint="eastAsia" w:ascii="楷体" w:hAnsi="楷体" w:eastAsia="楷体" w:cs="楷体"/>
          <w:b/>
          <w:bCs/>
          <w:color w:val="000000"/>
          <w:sz w:val="32"/>
          <w:szCs w:val="32"/>
        </w:rPr>
        <w:t>加强基层综合治理</w:t>
      </w:r>
      <w:bookmarkEnd w:id="212"/>
      <w:bookmarkEnd w:id="213"/>
      <w:bookmarkEnd w:id="21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加强综治中心规范化建设，推进政法信访超市实战化运转，开展乡镇综治中心规范化示范创建，实现三级综治中心规范化建设全覆盖。加快推进综治视联网向基层延伸。推进网格化服务管理标准化建设，调整优化网格设置，加强网格力量配备，整合各类网格资源，实现网格化服务管理“多网合一”、全域覆盖。开展“守三规、会四法、创五无”活动，提升平安乡村建设水平。运用“家风家训”助推基层社会治理工作。壮大群防群治队伍，组建特色志愿队伍，开展“平安休宁”志愿服务活动。</w:t>
      </w:r>
    </w:p>
    <w:p>
      <w:pPr>
        <w:pStyle w:val="4"/>
        <w:numPr>
          <w:ilvl w:val="0"/>
          <w:numId w:val="17"/>
        </w:numPr>
        <w:spacing w:before="156" w:after="156" w:line="560" w:lineRule="exact"/>
        <w:ind w:left="426"/>
        <w:rPr>
          <w:rFonts w:cs="Times New Roman"/>
          <w:color w:val="000000"/>
        </w:rPr>
      </w:pPr>
      <w:bookmarkStart w:id="215" w:name="_Toc72935930"/>
      <w:r>
        <w:rPr>
          <w:rFonts w:hint="eastAsia" w:cs="楷体"/>
          <w:color w:val="000000"/>
        </w:rPr>
        <w:t>健全风险防控体系</w:t>
      </w:r>
      <w:bookmarkEnd w:id="21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加强安全生产机制化建设，强化风险监测预警，构筑科学完善的食品药品安全治理体系，健全风险防控体系。</w:t>
      </w:r>
    </w:p>
    <w:p>
      <w:pPr>
        <w:spacing w:line="560" w:lineRule="exact"/>
        <w:ind w:firstLine="642" w:firstLineChars="200"/>
        <w:rPr>
          <w:rFonts w:ascii="仿宋_GB2312" w:eastAsia="仿宋_GB2312"/>
          <w:color w:val="000000"/>
          <w:sz w:val="32"/>
          <w:szCs w:val="32"/>
        </w:rPr>
      </w:pPr>
      <w:bookmarkStart w:id="216" w:name="_Toc56416862"/>
      <w:bookmarkStart w:id="217" w:name="_Toc55190974"/>
      <w:bookmarkStart w:id="218" w:name="_Toc55209138"/>
      <w:r>
        <w:rPr>
          <w:rFonts w:hint="eastAsia" w:ascii="楷体" w:hAnsi="楷体" w:eastAsia="楷体" w:cs="楷体"/>
          <w:b/>
          <w:bCs/>
          <w:color w:val="000000"/>
          <w:sz w:val="32"/>
          <w:szCs w:val="32"/>
        </w:rPr>
        <w:t>完善安全生产综合保障</w:t>
      </w:r>
      <w:bookmarkEnd w:id="216"/>
      <w:bookmarkEnd w:id="217"/>
      <w:bookmarkEnd w:id="218"/>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落实安全生产责任，按照“党政同责、一岗双责、齐抓共管、失职追责”的要求，全面落实党委和政府的安全生产工作领导责任、党政主要负责人第一责任人的责任。完善安全监管体制，加强安全生产监督管理职责部门之间的工作衔接，加强非煤矿山和民爆销售行业安全生产监管，明确执法责任和监管范围。强化安全生产基层执法力量。推进实施联合执法，解决影响人民群众生产生活安全的“城市病”。强化事中事后监管，强化安全科技创新和应用，积极推广先进生产工艺和安全技术，积极研发和推广应用先进的安全技术和产品。加强安全生产监管信息化建设，推动安全生产公共数据资源开放共享，加快实现城市安全管理的系统化、智能化。</w:t>
      </w:r>
    </w:p>
    <w:p>
      <w:pPr>
        <w:spacing w:line="560" w:lineRule="exact"/>
        <w:ind w:firstLine="642" w:firstLineChars="200"/>
        <w:rPr>
          <w:rFonts w:ascii="仿宋_GB2312" w:eastAsia="仿宋_GB2312"/>
          <w:color w:val="000000"/>
          <w:sz w:val="32"/>
          <w:szCs w:val="32"/>
        </w:rPr>
      </w:pPr>
      <w:bookmarkStart w:id="219" w:name="_Toc56416863"/>
      <w:bookmarkStart w:id="220" w:name="_Toc55209139"/>
      <w:bookmarkStart w:id="221" w:name="_Toc55190975"/>
      <w:r>
        <w:rPr>
          <w:rFonts w:hint="eastAsia" w:ascii="楷体" w:hAnsi="楷体" w:eastAsia="楷体" w:cs="楷体"/>
          <w:b/>
          <w:bCs/>
          <w:color w:val="000000"/>
          <w:sz w:val="32"/>
          <w:szCs w:val="32"/>
        </w:rPr>
        <w:t>强化食品药品安全监管</w:t>
      </w:r>
      <w:bookmarkEnd w:id="219"/>
      <w:bookmarkEnd w:id="220"/>
      <w:bookmarkEnd w:id="221"/>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夯实全省食品安全示范县创建成果，大力推进食品药品监管规范化、信息化、网格化、痕迹化，强化食品药品源头监管、预防检测、风险控制和应急处置，构建科学完善的食品和药品安全治理体系，推动食品药品生产经营者完善食品药品追溯体系。提高食品安全监测预警、应急处置能力，持续推进“旅游</w:t>
      </w:r>
      <w:r>
        <w:rPr>
          <w:rFonts w:ascii="仿宋_GB2312" w:eastAsia="仿宋_GB2312" w:cs="仿宋_GB2312"/>
          <w:color w:val="000000"/>
          <w:sz w:val="32"/>
          <w:szCs w:val="32"/>
        </w:rPr>
        <w:t>+</w:t>
      </w:r>
      <w:r>
        <w:rPr>
          <w:rFonts w:hint="eastAsia" w:ascii="仿宋_GB2312" w:eastAsia="仿宋_GB2312" w:cs="仿宋_GB2312"/>
          <w:color w:val="000000"/>
          <w:sz w:val="32"/>
          <w:szCs w:val="32"/>
        </w:rPr>
        <w:t>民宿餐饮食品安全”行动，确保人民群众“舌尖上的安全”，实现“民宿”餐饮单位食品安全标准化建设全覆盖。完善药品生产、经营、使用单位诚信档案管理和诚信等级评定。建立健全重大药品安全事件应急机制，完善应急预案，定时组织演练，提高处置药品安全突发事件的能力。</w:t>
      </w:r>
    </w:p>
    <w:p>
      <w:pPr>
        <w:spacing w:line="560" w:lineRule="exact"/>
        <w:ind w:firstLine="642" w:firstLineChars="200"/>
        <w:rPr>
          <w:rFonts w:ascii="仿宋_GB2312" w:eastAsia="仿宋_GB2312"/>
          <w:color w:val="000000"/>
          <w:sz w:val="30"/>
          <w:szCs w:val="30"/>
        </w:rPr>
      </w:pPr>
      <w:bookmarkStart w:id="222" w:name="_Toc55190976"/>
      <w:bookmarkStart w:id="223" w:name="_Toc55209140"/>
      <w:bookmarkStart w:id="224" w:name="_Toc56416864"/>
      <w:r>
        <w:rPr>
          <w:rFonts w:hint="eastAsia" w:ascii="楷体" w:hAnsi="楷体" w:eastAsia="楷体" w:cs="楷体"/>
          <w:b/>
          <w:bCs/>
          <w:color w:val="000000"/>
          <w:sz w:val="32"/>
          <w:szCs w:val="32"/>
        </w:rPr>
        <w:t>加强灾害应急机制建设</w:t>
      </w:r>
      <w:bookmarkEnd w:id="222"/>
      <w:bookmarkEnd w:id="223"/>
      <w:bookmarkEnd w:id="224"/>
      <w:r>
        <w:rPr>
          <w:rFonts w:hint="eastAsia" w:ascii="楷体" w:hAnsi="楷体" w:eastAsia="楷体" w:cs="楷体"/>
          <w:b/>
          <w:bCs/>
          <w:color w:val="000000"/>
          <w:sz w:val="32"/>
          <w:szCs w:val="32"/>
        </w:rPr>
        <w:t>。</w:t>
      </w:r>
      <w:r>
        <w:rPr>
          <w:rFonts w:hint="eastAsia" w:ascii="仿宋_GB2312" w:eastAsia="仿宋_GB2312" w:cs="仿宋_GB2312"/>
          <w:color w:val="000000"/>
          <w:sz w:val="32"/>
          <w:szCs w:val="32"/>
        </w:rPr>
        <w:t>健全全社会抵御自然灾害和综合防范能力长效机制，完善综合监测预警机制，建立健全灾害救助平台，完善自然灾害应急救助体系建设。引导社会组织积极参与减灾救灾，构建政府主导、多元联动、协同配合、有序参与的防灾减灾新格局。</w:t>
      </w:r>
      <w:r>
        <w:rPr>
          <w:rFonts w:ascii="仿宋_GB2312" w:hAnsi="µÈÏß Western" w:eastAsia="仿宋_GB2312"/>
          <w:color w:val="000000"/>
          <w:sz w:val="32"/>
          <w:szCs w:val="32"/>
        </w:rPr>
        <w:t> </w:t>
      </w:r>
      <w:r>
        <w:rPr>
          <w:rFonts w:hint="eastAsia" w:ascii="仿宋_GB2312" w:eastAsia="仿宋_GB2312" w:cs="仿宋_GB2312"/>
          <w:color w:val="000000"/>
          <w:sz w:val="32"/>
          <w:szCs w:val="32"/>
        </w:rPr>
        <w:t>提高防灾减灾的能力，防范洪涝、火灾、地震、公共卫生等灾害发生，不断提高防汛抗旱、地质灾害防治等工作水平。加强应急体系建设。以科技手段为重点，加快应急平台系统建设。以人才为依托，培养专业应急生力军，树立应急标杆企业。推进应急避难场所建设，充分利用公共服务设施，因地制宜建设应急避难场所。完善应急广播体系建设。完善应急物资保障，加强信息发布和舆情引导。</w:t>
      </w:r>
    </w:p>
    <w:p>
      <w:pPr>
        <w:pStyle w:val="4"/>
        <w:numPr>
          <w:ilvl w:val="0"/>
          <w:numId w:val="17"/>
        </w:numPr>
        <w:spacing w:before="156" w:after="156" w:line="560" w:lineRule="exact"/>
        <w:ind w:left="426"/>
        <w:rPr>
          <w:rFonts w:cs="Times New Roman"/>
          <w:color w:val="000000"/>
        </w:rPr>
      </w:pPr>
      <w:bookmarkStart w:id="225" w:name="_Toc72935931"/>
      <w:r>
        <w:rPr>
          <w:rFonts w:hint="eastAsia" w:cs="楷体"/>
          <w:color w:val="000000"/>
        </w:rPr>
        <w:t>推进法治休宁建设</w:t>
      </w:r>
      <w:bookmarkEnd w:id="225"/>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坚定不移走中国特色社会主义法治道路，以法治政府建设示范创建为引领，依法维护人民权益和国家安全稳定，营造公平公正的法治环境，全面提升法治休宁建设水平。</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建设法治政府。</w:t>
      </w:r>
      <w:r>
        <w:rPr>
          <w:rFonts w:hint="eastAsia" w:ascii="仿宋_GB2312" w:eastAsia="仿宋_GB2312" w:cs="仿宋_GB2312"/>
          <w:color w:val="000000"/>
          <w:sz w:val="32"/>
          <w:szCs w:val="32"/>
        </w:rPr>
        <w:t>坚持依宪施政、依法行政，恪守法定职责必须为、法无授权不可为，依法全面履行政府职能，着力理顺政府与市场、政府与社会的关系。全面推广运用安徽省行政执法信息平台系统，全面落实行政执法责任制，建设规范、高效的行政执法队伍。严格落实重大行政决策程序法律制度，建立健全重大行政决策跟踪反馈和评估制度。健全行政权力运行制约和监督体系，自觉接受党内、人大、民主和司法监督，加强社会监督。完善政府权力清单和责任清单。探索由人大授权下的行政权力和责任需求实证调查机制。明确和细化政府各部门的行政职责、具体工作事项和公共服务事项，建立健全对具体事项的事中事后监督管理和绩效评估制度。建立健全企业项目投资负面清单和动态调整机制。建立完善政府部门专项资金管理清单机制。</w:t>
      </w:r>
    </w:p>
    <w:p>
      <w:pPr>
        <w:spacing w:afterLines="50"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全面建设法治社会。</w:t>
      </w:r>
      <w:r>
        <w:rPr>
          <w:rFonts w:hint="eastAsia" w:ascii="仿宋_GB2312" w:eastAsia="仿宋_GB2312" w:cs="仿宋_GB2312"/>
          <w:color w:val="000000"/>
          <w:sz w:val="32"/>
          <w:szCs w:val="32"/>
        </w:rPr>
        <w:t>维护宪法权威，深入宣传宪法，弘扬宪法精神，增强宪法意识，持续开展学生“学宪法讲宪法”活动，坚持法治教育与道德教育相结合，把法治教育纳入国民教育体系，深入开展全民法治宣传教育，广泛开展民法典普法工作，形成全社会尊法学法守法用法的法治氛围。深入开展“八五”普法工作，健全普法责任制，认真落实“谁执法谁普法”普法责任制。加大普法宣传教育信息化建设，推进“互联网</w:t>
      </w:r>
      <w:r>
        <w:rPr>
          <w:rFonts w:ascii="仿宋_GB2312" w:eastAsia="仿宋_GB2312" w:cs="仿宋_GB2312"/>
          <w:color w:val="000000"/>
          <w:sz w:val="32"/>
          <w:szCs w:val="32"/>
        </w:rPr>
        <w:t>+</w:t>
      </w:r>
      <w:r>
        <w:rPr>
          <w:rFonts w:hint="eastAsia" w:ascii="仿宋_GB2312" w:eastAsia="仿宋_GB2312" w:cs="仿宋_GB2312"/>
          <w:color w:val="000000"/>
          <w:sz w:val="32"/>
          <w:szCs w:val="32"/>
        </w:rPr>
        <w:t>法治文化”。加快公共法律服务实体平台建设，完善法律援助制度，健全司法救助体系，推动形成覆盖城乡、便捷高效、均等普惠的现代公共法律服务体系。建设社会主义法治文化，发挥人民团体和社会组织在法治社会建设中的积极作用，开展群众性法治文化、法治创建、法治惠民活动，大力加强法治文化阵地建设，有效促进法治文化与传统文化、红色文化、地方文化、行业文化、企业文化融合发展。</w:t>
      </w:r>
    </w:p>
    <w:p>
      <w:pPr>
        <w:pStyle w:val="2"/>
        <w:spacing w:before="156" w:after="156" w:line="560" w:lineRule="exact"/>
        <w:ind w:left="426" w:hanging="426"/>
        <w:rPr>
          <w:rFonts w:ascii="方正小标宋_GBK" w:eastAsia="方正小标宋_GBK" w:cs="Times New Roman"/>
          <w:color w:val="000000"/>
          <w:sz w:val="36"/>
          <w:szCs w:val="36"/>
        </w:rPr>
      </w:pPr>
      <w:bookmarkStart w:id="226" w:name="_Toc72935932"/>
      <w:r>
        <w:rPr>
          <w:rFonts w:hint="eastAsia" w:ascii="方正小标宋_GBK" w:eastAsia="方正小标宋_GBK" w:cs="方正小标宋_GBK"/>
          <w:color w:val="000000"/>
          <w:sz w:val="36"/>
          <w:szCs w:val="36"/>
        </w:rPr>
        <w:t>高标准强化规划实施保障</w:t>
      </w:r>
      <w:bookmarkEnd w:id="226"/>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紧紧围绕扩大总量、转型升级、提质增效、深化改革创新等目标，为确保本规划顺利实施，必须充分发挥规划对资源配置的导向作用，加强组织领导，完善各要素支撑，聚焦监督检查，为全面完成“十四五”规划目标提供坚实支撑。</w:t>
      </w:r>
    </w:p>
    <w:p>
      <w:pPr>
        <w:pStyle w:val="3"/>
        <w:numPr>
          <w:ilvl w:val="0"/>
          <w:numId w:val="18"/>
        </w:numPr>
        <w:spacing w:before="156" w:after="156" w:line="560" w:lineRule="exact"/>
        <w:ind w:left="424" w:hanging="424" w:hangingChars="132"/>
        <w:rPr>
          <w:rFonts w:cs="Times New Roman"/>
          <w:color w:val="000000"/>
        </w:rPr>
      </w:pPr>
      <w:bookmarkStart w:id="227" w:name="_Toc72935933"/>
      <w:r>
        <w:rPr>
          <w:rFonts w:hint="eastAsia" w:cs="黑体"/>
          <w:color w:val="000000"/>
        </w:rPr>
        <w:t>全面加强党的领导</w:t>
      </w:r>
      <w:bookmarkEnd w:id="227"/>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党的领导，强化党对“十四五”规划落实的核心领导，为休宁“十四五”经济与社会全面发展提供强有力的政治保障。加强党的作风建设，锲而不舍落实中央八项规定精神及其省市县委实施细则，坚决防止“四风”问题反弹回潮。推进廉洁文化建设，营造崇廉尚廉氛围。坚持和完善党和国家监督体系，使监督融入“十四五”建设之中，把完善权力运行和制约监督机制作为实施规划的基础性建设，构建全覆盖的责任制度和监督制度。强化组织保障，县政府统一组织规划纲要的实施，明确目标任务和责任分工。加强统筹协调，完善各职能部门相互间协调机制，保证高质量完成规划纲要确定的指标体系和重点任务。合理安排规划实施的重要节点和建设周期，切实保障规划实施。</w:t>
      </w:r>
    </w:p>
    <w:p>
      <w:pPr>
        <w:pStyle w:val="3"/>
        <w:numPr>
          <w:ilvl w:val="0"/>
          <w:numId w:val="18"/>
        </w:numPr>
        <w:spacing w:before="156" w:after="156" w:line="560" w:lineRule="exact"/>
        <w:ind w:left="424" w:hanging="424" w:hangingChars="132"/>
        <w:rPr>
          <w:rFonts w:cs="Times New Roman"/>
          <w:color w:val="000000"/>
        </w:rPr>
      </w:pPr>
      <w:bookmarkStart w:id="228" w:name="_Toc72935934"/>
      <w:r>
        <w:rPr>
          <w:rFonts w:hint="eastAsia" w:cs="黑体"/>
          <w:color w:val="000000"/>
        </w:rPr>
        <w:t>注重项目带动</w:t>
      </w:r>
      <w:bookmarkEnd w:id="228"/>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加强项目推进，强化对项目建设的推动、服务和指导。完善县级领导联系推进重点项目制度，提高服务效能。紧盯项目建设关键环节，层层压实主体责任，努力提高项目开工率、竣工率、达产率和转化率。加强对项目建设、资金使用、工程质量的全过程监管，强化政府职能，提升投资效益。加强项目储备，建立动态重点建设项目库。深入谋划，分类管理重大项目。认真研究国家各项产业政策，围绕政策谋项目。研究长三角地区产业梯度转移的新动向，围绕机遇抓项目。研究发展中的短板，围绕“最后一公里”补项目。</w:t>
      </w:r>
    </w:p>
    <w:p>
      <w:pPr>
        <w:pStyle w:val="3"/>
        <w:numPr>
          <w:ilvl w:val="0"/>
          <w:numId w:val="18"/>
        </w:numPr>
        <w:spacing w:before="156" w:after="156" w:line="560" w:lineRule="exact"/>
        <w:ind w:left="424" w:hanging="424" w:hangingChars="132"/>
        <w:rPr>
          <w:rFonts w:cs="Times New Roman"/>
          <w:color w:val="000000"/>
        </w:rPr>
      </w:pPr>
      <w:bookmarkStart w:id="229" w:name="_Toc72935935"/>
      <w:r>
        <w:rPr>
          <w:rFonts w:hint="eastAsia" w:cs="黑体"/>
          <w:color w:val="000000"/>
        </w:rPr>
        <w:t>强化要素支撑</w:t>
      </w:r>
      <w:bookmarkEnd w:id="229"/>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提高财政资金使用效益。</w:t>
      </w:r>
      <w:r>
        <w:rPr>
          <w:rFonts w:hint="eastAsia" w:ascii="仿宋_GB2312" w:eastAsia="仿宋_GB2312" w:cs="仿宋_GB2312"/>
          <w:color w:val="000000"/>
          <w:sz w:val="32"/>
          <w:szCs w:val="32"/>
        </w:rPr>
        <w:t>强化财政后力，保障优质税源，加大财政支持力度，扩大产业引导资金规模。推进财政资金由直接投入向间接投入转变，由分散使用向重点扶持转变。提高政府投资引导力和带动力，鼓励社会资本扩大投入。加强政银企沟通对接，多渠道解决融资难问题。</w:t>
      </w:r>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注重人才引进。</w:t>
      </w:r>
      <w:r>
        <w:rPr>
          <w:rFonts w:hint="eastAsia" w:ascii="仿宋_GB2312" w:eastAsia="仿宋_GB2312" w:cs="仿宋_GB2312"/>
          <w:color w:val="000000"/>
          <w:sz w:val="32"/>
          <w:szCs w:val="32"/>
        </w:rPr>
        <w:t>依托政策和平台，全力引进高层次人才、高技能人才，创新人才激励机制，支持优秀企业家培育工程，梯次培养发展技能人才。推动各级各类型专家人才库建设，建立健全规划实施保障的专家咨询机制。</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促进科技创新。</w:t>
      </w:r>
      <w:r>
        <w:rPr>
          <w:rFonts w:hint="eastAsia" w:ascii="仿宋_GB2312" w:eastAsia="仿宋_GB2312" w:cs="仿宋_GB2312"/>
          <w:color w:val="000000"/>
          <w:sz w:val="32"/>
          <w:szCs w:val="32"/>
        </w:rPr>
        <w:t>营造科技创新的社会环境。制定促进科技创新发展的激励办法。建立创新驱动评价体系。积极“融杭接沪”，对接“合肥动力”，积极打造“创新飞地”“反向飞地”。</w:t>
      </w:r>
    </w:p>
    <w:p>
      <w:pPr>
        <w:pStyle w:val="3"/>
        <w:numPr>
          <w:ilvl w:val="0"/>
          <w:numId w:val="18"/>
        </w:numPr>
        <w:spacing w:before="156" w:after="156" w:line="560" w:lineRule="exact"/>
        <w:ind w:left="0" w:firstLine="0"/>
        <w:rPr>
          <w:rFonts w:cs="Times New Roman"/>
          <w:color w:val="000000"/>
        </w:rPr>
      </w:pPr>
      <w:bookmarkStart w:id="230" w:name="_Toc72935936"/>
      <w:r>
        <w:rPr>
          <w:rFonts w:hint="eastAsia" w:cs="黑体"/>
          <w:color w:val="000000"/>
        </w:rPr>
        <w:t>健全评估监督机制</w:t>
      </w:r>
      <w:bookmarkEnd w:id="230"/>
    </w:p>
    <w:p>
      <w:pPr>
        <w:spacing w:line="560" w:lineRule="exact"/>
        <w:ind w:firstLine="642" w:firstLineChars="200"/>
        <w:rPr>
          <w:rFonts w:ascii="仿宋_GB2312" w:eastAsia="仿宋_GB2312"/>
          <w:color w:val="000000"/>
          <w:sz w:val="32"/>
          <w:szCs w:val="32"/>
        </w:rPr>
      </w:pPr>
      <w:r>
        <w:rPr>
          <w:rFonts w:hint="eastAsia" w:ascii="楷体" w:hAnsi="楷体" w:eastAsia="楷体" w:cs="楷体"/>
          <w:b/>
          <w:bCs/>
          <w:color w:val="000000"/>
          <w:sz w:val="32"/>
          <w:szCs w:val="32"/>
        </w:rPr>
        <w:t>完善规划评估制度。</w:t>
      </w:r>
      <w:r>
        <w:rPr>
          <w:rFonts w:hint="eastAsia" w:ascii="仿宋_GB2312" w:eastAsia="仿宋_GB2312" w:cs="仿宋_GB2312"/>
          <w:color w:val="000000"/>
          <w:sz w:val="32"/>
          <w:szCs w:val="32"/>
        </w:rPr>
        <w:t>健全规划的中期评估制度和年度评估制度，全面分析检查规划实施效果，找出规划实施中的问题，提出解决问题的对策建议，形成规划中期评估报告，由县政府报送县人民代表大会常务委员会审议。</w:t>
      </w:r>
    </w:p>
    <w:p>
      <w:pPr>
        <w:spacing w:line="560" w:lineRule="exact"/>
        <w:ind w:firstLine="642" w:firstLineChars="200"/>
        <w:rPr>
          <w:rFonts w:ascii="仿宋_GB2312" w:eastAsia="仿宋_GB2312"/>
          <w:color w:val="000000"/>
          <w:sz w:val="30"/>
          <w:szCs w:val="30"/>
        </w:rPr>
      </w:pPr>
      <w:r>
        <w:rPr>
          <w:rFonts w:hint="eastAsia" w:ascii="楷体" w:hAnsi="楷体" w:eastAsia="楷体" w:cs="楷体"/>
          <w:b/>
          <w:bCs/>
          <w:color w:val="000000"/>
          <w:sz w:val="32"/>
          <w:szCs w:val="32"/>
        </w:rPr>
        <w:t>健全规划监督机制。</w:t>
      </w:r>
      <w:r>
        <w:rPr>
          <w:rFonts w:hint="eastAsia" w:ascii="仿宋_GB2312" w:eastAsia="仿宋_GB2312" w:cs="仿宋_GB2312"/>
          <w:color w:val="000000"/>
          <w:sz w:val="32"/>
          <w:szCs w:val="32"/>
        </w:rPr>
        <w:t>推进规划实施的信息公开，加强社会对规划实施的监督。建立舆论监督机制，发挥新闻媒体、群众社团的桥梁和监督作用。本规划实施期间，因不可预见因素导致经济社会发展发生重大变化，需修订规划目标时，由县政府及时提出调整方案，报县人民代表大会常务委员会审查批准后组织实施。</w:t>
      </w:r>
    </w:p>
    <w:p/>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ind w:firstLine="288" w:firstLineChars="100"/>
        <w:rPr>
          <w:rFonts w:ascii="仿宋_GB2312" w:hAnsi="仿宋_GB2312" w:eastAsia="仿宋_GB2312" w:cs="仿宋_GB2312"/>
          <w:sz w:val="28"/>
          <w:szCs w:val="28"/>
        </w:rPr>
      </w:pPr>
      <w:r>
        <w:rPr>
          <w:rFonts w:eastAsia="黑体"/>
          <w:spacing w:val="4"/>
          <w:sz w:val="28"/>
          <w:szCs w:val="28"/>
        </w:rPr>
        <w:pict>
          <v:line id="Line 2" o:spid="_x0000_s1028" o:spt="20" style="position:absolute;left:0pt;margin-left:-0.85pt;margin-top:1.45pt;height:0pt;width:449.55pt;z-index:251662336;mso-width-relative:page;mso-height-relative:page;" coordsize="21600,21600">
            <v:path arrowok="t"/>
            <v:fill focussize="0,0"/>
            <v:stroke/>
            <v:imagedata o:title=""/>
            <o:lock v:ext="edit"/>
          </v:line>
        </w:pict>
      </w:r>
      <w:r>
        <w:rPr>
          <w:rFonts w:hint="eastAsia" w:ascii="仿宋_GB2312" w:eastAsia="仿宋_GB2312"/>
          <w:spacing w:val="4"/>
          <w:sz w:val="28"/>
          <w:szCs w:val="28"/>
        </w:rPr>
        <w:t>抄 送：</w:t>
      </w:r>
      <w:r>
        <w:rPr>
          <w:rFonts w:hint="eastAsia" w:ascii="仿宋_GB2312" w:hAnsi="仿宋_GB2312" w:eastAsia="仿宋_GB2312" w:cs="仿宋_GB2312"/>
          <w:spacing w:val="-20"/>
          <w:w w:val="106"/>
          <w:sz w:val="28"/>
          <w:szCs w:val="28"/>
        </w:rPr>
        <w:t>县委各部门，县人大办，县政协办，县法院，县检察院，县</w:t>
      </w:r>
      <w:r>
        <w:rPr>
          <w:rFonts w:hint="eastAsia" w:ascii="仿宋_GB2312" w:hAnsi="仿宋_GB2312" w:eastAsia="仿宋_GB2312" w:cs="仿宋_GB2312"/>
          <w:w w:val="106"/>
          <w:sz w:val="28"/>
          <w:szCs w:val="28"/>
        </w:rPr>
        <w:t>人武部，</w:t>
      </w:r>
    </w:p>
    <w:p>
      <w:pPr>
        <w:spacing w:line="560" w:lineRule="exact"/>
        <w:ind w:firstLine="1260" w:firstLineChars="450"/>
        <w:rPr>
          <w:rFonts w:ascii="仿宋_GB2312" w:hAnsi="仿宋_GB2312" w:eastAsia="仿宋_GB2312" w:cs="仿宋_GB2312"/>
          <w:spacing w:val="20"/>
          <w:sz w:val="28"/>
          <w:szCs w:val="28"/>
        </w:rPr>
      </w:pPr>
      <w:r>
        <w:rPr>
          <w:rFonts w:hint="eastAsia" w:ascii="仿宋_GB2312" w:hAnsi="仿宋_GB2312" w:eastAsia="仿宋_GB2312" w:cs="仿宋_GB2312"/>
          <w:sz w:val="28"/>
          <w:szCs w:val="28"/>
        </w:rPr>
        <w:t>驻休各单位，各群众团体。</w:t>
      </w:r>
    </w:p>
    <w:p>
      <w:pPr>
        <w:spacing w:line="600" w:lineRule="exact"/>
        <w:ind w:firstLine="288" w:firstLineChars="100"/>
        <w:rPr>
          <w:rFonts w:ascii="仿宋_GB2312" w:hAnsi="仿宋_GB2312" w:eastAsia="仿宋_GB2312"/>
          <w:sz w:val="28"/>
          <w:szCs w:val="28"/>
        </w:rPr>
      </w:pPr>
      <w:r>
        <w:rPr>
          <w:rFonts w:ascii="仿宋_GB2312" w:hAnsi="Calibri" w:eastAsia="仿宋_GB2312"/>
          <w:spacing w:val="4"/>
          <w:sz w:val="28"/>
          <w:szCs w:val="28"/>
        </w:rPr>
        <w:pict>
          <v:line id="Line 3" o:spid="_x0000_s1029" o:spt="20" style="position:absolute;left:0pt;margin-left:-0.85pt;margin-top:3.1pt;height:0pt;width:449.55pt;z-index:251663360;mso-width-relative:page;mso-height-relative:page;" coordsize="21600,21600">
            <v:path arrowok="t"/>
            <v:fill focussize="0,0"/>
            <v:stroke/>
            <v:imagedata o:title=""/>
            <o:lock v:ext="edit"/>
          </v:line>
        </w:pict>
      </w:r>
      <w:r>
        <w:rPr>
          <w:rFonts w:ascii="仿宋_GB2312" w:hAnsi="Calibri" w:eastAsia="仿宋_GB2312"/>
          <w:sz w:val="28"/>
          <w:szCs w:val="28"/>
        </w:rPr>
        <w:pict>
          <v:line id="Line 4" o:spid="_x0000_s1027" o:spt="20" style="position:absolute;left:0pt;margin-left:-0.85pt;margin-top:34.45pt;height:0pt;width:449.55pt;z-index:251661312;mso-width-relative:page;mso-height-relative:page;" coordsize="21600,21600">
            <v:path arrowok="t"/>
            <v:fill focussize="0,0"/>
            <v:stroke/>
            <v:imagedata o:title=""/>
            <o:lock v:ext="edit"/>
          </v:line>
        </w:pict>
      </w:r>
      <w:r>
        <w:rPr>
          <w:rFonts w:hint="eastAsia" w:ascii="仿宋_GB2312" w:eastAsia="仿宋_GB2312"/>
          <w:sz w:val="28"/>
          <w:szCs w:val="28"/>
        </w:rPr>
        <w:t>休宁县人民政府办公室                    2021年6月22日印发</w:t>
      </w: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µÈÏß Western">
    <w:altName w:val="汉仪叶叶相思体简"/>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2"/>
      <w:jc w:val="center"/>
      <w:rPr>
        <w:rFonts w:cs="Times New Roman"/>
        <w:b/>
        <w:bCs/>
        <w:sz w:val="21"/>
        <w:szCs w:val="21"/>
      </w:rPr>
    </w:pPr>
    <w:r>
      <w:rPr>
        <w:sz w:val="21"/>
      </w:rPr>
      <w:pict>
        <v:shape id="文本框 4" o:spid="_x0000_s2049"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9"/>
                  <w:rPr>
                    <w:rFonts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rPr>
                  <w:t>- 3 -</w:t>
                </w:r>
                <w:r>
                  <w:rPr>
                    <w:rFonts w:hint="eastAsia" w:ascii="方正小标宋_GBK" w:eastAsia="方正小标宋_GBK"/>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cs="Times New Roman"/>
      </w:rPr>
    </w:pPr>
    <w:r>
      <w:pict>
        <v:shape id="文本框 5" o:spid="_x0000_s2050"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2"/>
      <w:jc w:val="center"/>
      <w:rPr>
        <w:rFonts w:cs="Times New Roman"/>
        <w:b/>
        <w:bCs/>
        <w:sz w:val="21"/>
        <w:szCs w:val="21"/>
      </w:rPr>
    </w:pPr>
    <w:r>
      <w:rPr>
        <w:sz w:val="21"/>
      </w:rPr>
      <w:pict>
        <v:shape id="文本框 6" o:spid="_x0000_s2051"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cs="Times New Roman"/>
      </w:rPr>
    </w:pPr>
    <w:r>
      <w:pict>
        <v:shape id="文本框 7" o:spid="_x0000_s2052"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2"/>
      <w:jc w:val="center"/>
      <w:rPr>
        <w:rFonts w:cs="Times New Roman"/>
        <w:b/>
        <w:bCs/>
        <w:sz w:val="21"/>
        <w:szCs w:val="21"/>
      </w:rPr>
    </w:pPr>
    <w:r>
      <w:rPr>
        <w:sz w:val="21"/>
      </w:rPr>
      <w:pict>
        <v:shape id="文本框 9" o:spid="_x0000_s205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2"/>
      <w:jc w:val="center"/>
      <w:rPr>
        <w:rFonts w:cs="Times New Roman"/>
        <w:b/>
        <w:bCs/>
        <w:sz w:val="21"/>
        <w:szCs w:val="21"/>
      </w:rPr>
    </w:pPr>
    <w:r>
      <w:rPr>
        <w:sz w:val="21"/>
      </w:rPr>
      <w:pict>
        <v:shape id="文本框 8"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A0776"/>
    <w:multiLevelType w:val="multilevel"/>
    <w:tmpl w:val="144A0776"/>
    <w:lvl w:ilvl="0" w:tentative="0">
      <w:start w:val="1"/>
      <w:numFmt w:val="decimal"/>
      <w:lvlText w:val="%1"/>
      <w:lvlJc w:val="left"/>
      <w:pPr>
        <w:ind w:left="61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084C51"/>
    <w:multiLevelType w:val="multilevel"/>
    <w:tmpl w:val="26084C51"/>
    <w:lvl w:ilvl="0" w:tentative="0">
      <w:start w:val="1"/>
      <w:numFmt w:val="chineseCountingThousand"/>
      <w:pStyle w:val="3"/>
      <w:lvlText w:val="第%1章"/>
      <w:lvlJc w:val="left"/>
      <w:pPr>
        <w:ind w:left="3109" w:hanging="420"/>
      </w:pPr>
      <w:rPr>
        <w:rFonts w:hint="eastAsia" w:ascii="黑体" w:hAnsi="黑体" w:eastAsia="黑体"/>
        <w:color w:val="000000"/>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6540620"/>
    <w:multiLevelType w:val="multilevel"/>
    <w:tmpl w:val="36540620"/>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49865F59"/>
    <w:multiLevelType w:val="multilevel"/>
    <w:tmpl w:val="49865F59"/>
    <w:lvl w:ilvl="0" w:tentative="0">
      <w:start w:val="1"/>
      <w:numFmt w:val="decimal"/>
      <w:pStyle w:val="5"/>
      <w:lvlText w:val="专栏%1"/>
      <w:lvlJc w:val="left"/>
      <w:pPr>
        <w:ind w:left="420" w:hanging="420"/>
      </w:pPr>
      <w:rPr>
        <w:rFonts w:hint="eastAsia" w:ascii="黑体" w:hAnsi="黑体" w:eastAsia="黑体"/>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4034BB2"/>
    <w:multiLevelType w:val="multilevel"/>
    <w:tmpl w:val="54034BB2"/>
    <w:lvl w:ilvl="0" w:tentative="0">
      <w:start w:val="1"/>
      <w:numFmt w:val="chineseCountingThousand"/>
      <w:pStyle w:val="2"/>
      <w:lvlText w:val="第%1篇"/>
      <w:lvlJc w:val="left"/>
      <w:pPr>
        <w:ind w:left="1680" w:hanging="420"/>
      </w:pPr>
      <w:rPr>
        <w:rFonts w:hint="eastAsia" w:ascii="方正小标宋_GBK" w:eastAsia="方正小标宋_GBK"/>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52B1D8E"/>
    <w:multiLevelType w:val="multilevel"/>
    <w:tmpl w:val="552B1D8E"/>
    <w:lvl w:ilvl="0" w:tentative="0">
      <w:start w:val="1"/>
      <w:numFmt w:val="chineseCountingThousand"/>
      <w:pStyle w:val="4"/>
      <w:lvlText w:val="第%1节"/>
      <w:lvlJc w:val="left"/>
      <w:pPr>
        <w:ind w:left="3480" w:hanging="420"/>
      </w:pPr>
      <w:rPr>
        <w:rFonts w:hint="eastAsia" w:ascii="楷体" w:hAnsi="楷体" w:eastAsia="楷体"/>
        <w:b/>
        <w:bCs/>
        <w:color w:val="000000"/>
      </w:rPr>
    </w:lvl>
    <w:lvl w:ilvl="1" w:tentative="0">
      <w:start w:val="1"/>
      <w:numFmt w:val="lowerLetter"/>
      <w:lvlText w:val="%2)"/>
      <w:lvlJc w:val="left"/>
      <w:pPr>
        <w:ind w:left="2208" w:hanging="420"/>
      </w:pPr>
      <w:rPr>
        <w:rFonts w:hint="eastAsia"/>
      </w:rPr>
    </w:lvl>
    <w:lvl w:ilvl="2" w:tentative="0">
      <w:start w:val="1"/>
      <w:numFmt w:val="lowerRoman"/>
      <w:lvlText w:val="%3."/>
      <w:lvlJc w:val="right"/>
      <w:pPr>
        <w:ind w:left="2628" w:hanging="420"/>
      </w:pPr>
      <w:rPr>
        <w:rFonts w:hint="eastAsia"/>
      </w:rPr>
    </w:lvl>
    <w:lvl w:ilvl="3" w:tentative="0">
      <w:start w:val="1"/>
      <w:numFmt w:val="decimal"/>
      <w:lvlText w:val="%4."/>
      <w:lvlJc w:val="left"/>
      <w:pPr>
        <w:ind w:left="3048" w:hanging="420"/>
      </w:pPr>
      <w:rPr>
        <w:rFonts w:hint="eastAsia"/>
      </w:rPr>
    </w:lvl>
    <w:lvl w:ilvl="4" w:tentative="0">
      <w:start w:val="1"/>
      <w:numFmt w:val="lowerLetter"/>
      <w:lvlText w:val="%5)"/>
      <w:lvlJc w:val="left"/>
      <w:pPr>
        <w:ind w:left="3468" w:hanging="420"/>
      </w:pPr>
      <w:rPr>
        <w:rFonts w:hint="eastAsia"/>
      </w:rPr>
    </w:lvl>
    <w:lvl w:ilvl="5" w:tentative="0">
      <w:start w:val="1"/>
      <w:numFmt w:val="lowerRoman"/>
      <w:lvlText w:val="%6."/>
      <w:lvlJc w:val="right"/>
      <w:pPr>
        <w:ind w:left="3888" w:hanging="420"/>
      </w:pPr>
      <w:rPr>
        <w:rFonts w:hint="eastAsia"/>
      </w:rPr>
    </w:lvl>
    <w:lvl w:ilvl="6" w:tentative="0">
      <w:start w:val="1"/>
      <w:numFmt w:val="decimal"/>
      <w:lvlText w:val="%7."/>
      <w:lvlJc w:val="left"/>
      <w:pPr>
        <w:ind w:left="4308" w:hanging="420"/>
      </w:pPr>
      <w:rPr>
        <w:rFonts w:hint="eastAsia"/>
      </w:rPr>
    </w:lvl>
    <w:lvl w:ilvl="7" w:tentative="0">
      <w:start w:val="1"/>
      <w:numFmt w:val="lowerLetter"/>
      <w:lvlText w:val="%8)"/>
      <w:lvlJc w:val="left"/>
      <w:pPr>
        <w:ind w:left="4728" w:hanging="420"/>
      </w:pPr>
      <w:rPr>
        <w:rFonts w:hint="eastAsia"/>
      </w:rPr>
    </w:lvl>
    <w:lvl w:ilvl="8" w:tentative="0">
      <w:start w:val="1"/>
      <w:numFmt w:val="lowerRoman"/>
      <w:lvlText w:val="%9."/>
      <w:lvlJc w:val="right"/>
      <w:pPr>
        <w:ind w:left="5148" w:hanging="420"/>
      </w:pPr>
      <w:rPr>
        <w:rFonts w:hint="eastAsia"/>
      </w:rPr>
    </w:lvl>
  </w:abstractNum>
  <w:num w:numId="1">
    <w:abstractNumId w:val="4"/>
  </w:num>
  <w:num w:numId="2">
    <w:abstractNumId w:val="1"/>
  </w:num>
  <w:num w:numId="3">
    <w:abstractNumId w:val="5"/>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F59"/>
    <w:rsid w:val="00507F59"/>
    <w:rsid w:val="00A001C4"/>
    <w:rsid w:val="00BF4A7A"/>
    <w:rsid w:val="00C9759A"/>
    <w:rsid w:val="00CA0202"/>
    <w:rsid w:val="00CD5E5E"/>
    <w:rsid w:val="00EA0C2F"/>
    <w:rsid w:val="00ED44F7"/>
    <w:rsid w:val="00F25604"/>
    <w:rsid w:val="00FF4ECF"/>
    <w:rsid w:val="577F71E7"/>
    <w:rsid w:val="FDCF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nhideWhenUsed="0" w:uiPriority="99" w:semiHidden="0"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numPr>
        <w:ilvl w:val="0"/>
        <w:numId w:val="1"/>
      </w:numPr>
      <w:spacing w:beforeLines="50" w:afterLines="50"/>
      <w:jc w:val="center"/>
      <w:outlineLvl w:val="0"/>
    </w:pPr>
    <w:rPr>
      <w:rFonts w:ascii="Calibri" w:hAnsi="Calibri" w:eastAsia="方正小标宋简体" w:cs="Calibri"/>
      <w:b/>
      <w:bCs/>
      <w:kern w:val="44"/>
      <w:sz w:val="44"/>
      <w:szCs w:val="44"/>
    </w:rPr>
  </w:style>
  <w:style w:type="paragraph" w:styleId="3">
    <w:name w:val="heading 2"/>
    <w:basedOn w:val="1"/>
    <w:next w:val="1"/>
    <w:link w:val="18"/>
    <w:qFormat/>
    <w:uiPriority w:val="99"/>
    <w:pPr>
      <w:keepNext/>
      <w:keepLines/>
      <w:numPr>
        <w:ilvl w:val="0"/>
        <w:numId w:val="2"/>
      </w:numPr>
      <w:spacing w:beforeLines="50" w:afterLines="50"/>
      <w:ind w:left="3107" w:firstLine="0"/>
      <w:jc w:val="center"/>
      <w:outlineLvl w:val="1"/>
    </w:pPr>
    <w:rPr>
      <w:rFonts w:ascii="Cambria" w:hAnsi="Cambria" w:eastAsia="黑体" w:cs="Cambria"/>
      <w:b/>
      <w:bCs/>
      <w:sz w:val="32"/>
      <w:szCs w:val="32"/>
    </w:rPr>
  </w:style>
  <w:style w:type="paragraph" w:styleId="4">
    <w:name w:val="heading 3"/>
    <w:basedOn w:val="1"/>
    <w:next w:val="1"/>
    <w:link w:val="19"/>
    <w:qFormat/>
    <w:uiPriority w:val="99"/>
    <w:pPr>
      <w:keepNext/>
      <w:keepLines/>
      <w:numPr>
        <w:ilvl w:val="0"/>
        <w:numId w:val="3"/>
      </w:numPr>
      <w:spacing w:beforeLines="50" w:afterLines="50"/>
      <w:jc w:val="center"/>
      <w:outlineLvl w:val="2"/>
    </w:pPr>
    <w:rPr>
      <w:rFonts w:ascii="Calibri" w:hAnsi="Calibri" w:eastAsia="楷体" w:cs="Calibri"/>
      <w:b/>
      <w:bCs/>
      <w:sz w:val="32"/>
      <w:szCs w:val="32"/>
    </w:rPr>
  </w:style>
  <w:style w:type="paragraph" w:styleId="5">
    <w:name w:val="heading 5"/>
    <w:basedOn w:val="1"/>
    <w:next w:val="1"/>
    <w:link w:val="20"/>
    <w:qFormat/>
    <w:uiPriority w:val="99"/>
    <w:pPr>
      <w:keepNext/>
      <w:keepLines/>
      <w:numPr>
        <w:ilvl w:val="0"/>
        <w:numId w:val="4"/>
      </w:numPr>
      <w:outlineLvl w:val="4"/>
    </w:pPr>
    <w:rPr>
      <w:rFonts w:ascii="Calibri" w:hAnsi="Calibri" w:eastAsia="仿宋_GB2312" w:cs="Calibri"/>
      <w:b/>
      <w:bCs/>
      <w:sz w:val="28"/>
      <w:szCs w:val="28"/>
    </w:rPr>
  </w:style>
  <w:style w:type="paragraph" w:styleId="6">
    <w:name w:val="heading 7"/>
    <w:basedOn w:val="1"/>
    <w:next w:val="1"/>
    <w:link w:val="21"/>
    <w:qFormat/>
    <w:uiPriority w:val="99"/>
    <w:pPr>
      <w:keepNext/>
      <w:keepLines/>
      <w:spacing w:before="240" w:after="64" w:line="320" w:lineRule="auto"/>
      <w:ind w:firstLine="200" w:firstLineChars="200"/>
      <w:outlineLvl w:val="6"/>
    </w:pPr>
    <w:rPr>
      <w:rFonts w:ascii="Calibri" w:hAnsi="Calibri" w:eastAsia="仿宋_GB2312" w:cs="Calibri"/>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qFormat/>
    <w:uiPriority w:val="99"/>
    <w:pPr>
      <w:tabs>
        <w:tab w:val="left" w:pos="1418"/>
        <w:tab w:val="right" w:leader="dot" w:pos="8302"/>
      </w:tabs>
      <w:ind w:left="420"/>
      <w:jc w:val="left"/>
    </w:pPr>
    <w:rPr>
      <w:rFonts w:ascii="Calibri" w:hAnsi="Calibri" w:eastAsia="仿宋_GB2312" w:cs="Calibri"/>
      <w:sz w:val="28"/>
      <w:szCs w:val="28"/>
    </w:rPr>
  </w:style>
  <w:style w:type="paragraph" w:styleId="8">
    <w:name w:val="Balloon Text"/>
    <w:basedOn w:val="1"/>
    <w:link w:val="26"/>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等线" w:hAnsi="等线" w:eastAsia="等线" w:cs="等线"/>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ascii="等线" w:hAnsi="等线" w:eastAsia="等线" w:cs="等线"/>
      <w:kern w:val="0"/>
      <w:sz w:val="18"/>
      <w:szCs w:val="18"/>
    </w:rPr>
  </w:style>
  <w:style w:type="paragraph" w:styleId="11">
    <w:name w:val="toc 1"/>
    <w:basedOn w:val="1"/>
    <w:next w:val="1"/>
    <w:semiHidden/>
    <w:qFormat/>
    <w:uiPriority w:val="99"/>
    <w:pPr>
      <w:tabs>
        <w:tab w:val="left" w:pos="1134"/>
        <w:tab w:val="right" w:leader="dot" w:pos="8302"/>
      </w:tabs>
      <w:spacing w:before="120" w:after="120"/>
      <w:jc w:val="left"/>
    </w:pPr>
    <w:rPr>
      <w:rFonts w:ascii="Calibri" w:hAnsi="Calibri" w:eastAsia="方正小标宋_GBK" w:cs="Calibri"/>
      <w:b/>
      <w:bCs/>
      <w:caps/>
      <w:sz w:val="28"/>
      <w:szCs w:val="28"/>
    </w:rPr>
  </w:style>
  <w:style w:type="paragraph" w:styleId="12">
    <w:name w:val="toc 2"/>
    <w:basedOn w:val="1"/>
    <w:next w:val="1"/>
    <w:semiHidden/>
    <w:qFormat/>
    <w:uiPriority w:val="99"/>
    <w:pPr>
      <w:tabs>
        <w:tab w:val="left" w:pos="1276"/>
        <w:tab w:val="right" w:leader="dot" w:pos="8302"/>
      </w:tabs>
      <w:ind w:left="210"/>
      <w:jc w:val="left"/>
    </w:pPr>
    <w:rPr>
      <w:rFonts w:ascii="Calibri" w:hAnsi="Calibri" w:eastAsia="黑体" w:cs="Calibri"/>
      <w:smallCaps/>
      <w:sz w:val="28"/>
      <w:szCs w:val="28"/>
    </w:rPr>
  </w:style>
  <w:style w:type="character" w:styleId="15">
    <w:name w:val="page number"/>
    <w:basedOn w:val="14"/>
    <w:qFormat/>
    <w:uiPriority w:val="99"/>
  </w:style>
  <w:style w:type="character" w:styleId="16">
    <w:name w:val="Hyperlink"/>
    <w:basedOn w:val="14"/>
    <w:qFormat/>
    <w:uiPriority w:val="99"/>
    <w:rPr>
      <w:color w:val="0000FF"/>
      <w:u w:val="single"/>
    </w:rPr>
  </w:style>
  <w:style w:type="character" w:customStyle="1" w:styleId="17">
    <w:name w:val="标题 1 Char"/>
    <w:basedOn w:val="14"/>
    <w:link w:val="2"/>
    <w:qFormat/>
    <w:uiPriority w:val="99"/>
    <w:rPr>
      <w:rFonts w:ascii="Calibri" w:hAnsi="Calibri" w:eastAsia="方正小标宋简体" w:cs="Calibri"/>
      <w:b/>
      <w:bCs/>
      <w:kern w:val="44"/>
      <w:sz w:val="44"/>
      <w:szCs w:val="44"/>
    </w:rPr>
  </w:style>
  <w:style w:type="character" w:customStyle="1" w:styleId="18">
    <w:name w:val="标题 2 Char"/>
    <w:basedOn w:val="14"/>
    <w:link w:val="3"/>
    <w:qFormat/>
    <w:uiPriority w:val="99"/>
    <w:rPr>
      <w:rFonts w:ascii="Cambria" w:hAnsi="Cambria" w:eastAsia="黑体" w:cs="Cambria"/>
      <w:b/>
      <w:bCs/>
      <w:sz w:val="32"/>
      <w:szCs w:val="32"/>
    </w:rPr>
  </w:style>
  <w:style w:type="character" w:customStyle="1" w:styleId="19">
    <w:name w:val="标题 3 Char"/>
    <w:basedOn w:val="14"/>
    <w:link w:val="4"/>
    <w:qFormat/>
    <w:uiPriority w:val="99"/>
    <w:rPr>
      <w:rFonts w:ascii="Calibri" w:hAnsi="Calibri" w:eastAsia="楷体" w:cs="Calibri"/>
      <w:b/>
      <w:bCs/>
      <w:sz w:val="32"/>
      <w:szCs w:val="32"/>
    </w:rPr>
  </w:style>
  <w:style w:type="character" w:customStyle="1" w:styleId="20">
    <w:name w:val="标题 5 Char"/>
    <w:basedOn w:val="14"/>
    <w:link w:val="5"/>
    <w:qFormat/>
    <w:uiPriority w:val="99"/>
    <w:rPr>
      <w:rFonts w:ascii="Calibri" w:hAnsi="Calibri" w:eastAsia="仿宋_GB2312" w:cs="Calibri"/>
      <w:b/>
      <w:bCs/>
      <w:sz w:val="28"/>
      <w:szCs w:val="28"/>
    </w:rPr>
  </w:style>
  <w:style w:type="character" w:customStyle="1" w:styleId="21">
    <w:name w:val="标题 7 Char"/>
    <w:basedOn w:val="14"/>
    <w:link w:val="6"/>
    <w:qFormat/>
    <w:uiPriority w:val="99"/>
    <w:rPr>
      <w:rFonts w:ascii="Calibri" w:hAnsi="Calibri" w:eastAsia="仿宋_GB2312" w:cs="Calibri"/>
      <w:b/>
      <w:bCs/>
      <w:sz w:val="24"/>
      <w:szCs w:val="24"/>
    </w:rPr>
  </w:style>
  <w:style w:type="paragraph" w:customStyle="1" w:styleId="22">
    <w:name w:val="Char"/>
    <w:basedOn w:val="1"/>
    <w:semiHidden/>
    <w:qFormat/>
    <w:uiPriority w:val="99"/>
    <w:rPr>
      <w:sz w:val="32"/>
      <w:szCs w:val="32"/>
    </w:rPr>
  </w:style>
  <w:style w:type="character" w:customStyle="1" w:styleId="23">
    <w:name w:val="页眉 Char"/>
    <w:basedOn w:val="14"/>
    <w:link w:val="10"/>
    <w:qFormat/>
    <w:uiPriority w:val="99"/>
    <w:rPr>
      <w:rFonts w:ascii="等线" w:hAnsi="等线" w:eastAsia="等线" w:cs="等线"/>
      <w:kern w:val="0"/>
      <w:sz w:val="18"/>
      <w:szCs w:val="18"/>
    </w:rPr>
  </w:style>
  <w:style w:type="character" w:customStyle="1" w:styleId="24">
    <w:name w:val="页脚 Char"/>
    <w:basedOn w:val="14"/>
    <w:link w:val="9"/>
    <w:qFormat/>
    <w:uiPriority w:val="99"/>
    <w:rPr>
      <w:rFonts w:ascii="等线" w:hAnsi="等线" w:eastAsia="等线" w:cs="等线"/>
      <w:kern w:val="0"/>
      <w:sz w:val="18"/>
      <w:szCs w:val="18"/>
    </w:rPr>
  </w:style>
  <w:style w:type="paragraph" w:styleId="25">
    <w:name w:val="List Paragraph"/>
    <w:basedOn w:val="1"/>
    <w:qFormat/>
    <w:uiPriority w:val="99"/>
    <w:rPr>
      <w:rFonts w:ascii="Calibri" w:hAnsi="Calibri" w:eastAsia="仿宋_GB2312" w:cs="Calibri"/>
      <w:sz w:val="32"/>
      <w:szCs w:val="32"/>
    </w:rPr>
  </w:style>
  <w:style w:type="character" w:customStyle="1" w:styleId="26">
    <w:name w:val="批注框文本 Char"/>
    <w:basedOn w:val="14"/>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2054"/>
    <customShpInfo spid="_x0000_s2053"/>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29856</Words>
  <Characters>30156</Characters>
  <Lines>1436</Lines>
  <Paragraphs>769</Paragraphs>
  <TotalTime>6</TotalTime>
  <ScaleCrop>false</ScaleCrop>
  <LinksUpToDate>false</LinksUpToDate>
  <CharactersWithSpaces>59243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2021-06-24T17:53:00Z</dcterms:created>
  <dc:creator>休宁县政府办文电股（许友良）</dc:creator>
  <cp:lastModifiedBy>greatwall</cp:lastModifiedBy>
  <cp:lastPrinted>2021-06-25T00:46:00Z</cp:lastPrinted>
  <dcterms:modified xsi:type="dcterms:W3CDTF">2023-09-04T09:35:14Z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